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B2E65">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14:paraId="0EA4D4AE">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13E95F31">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14:paraId="790A0BB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00695C4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D7DA2D0">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6DB58373">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42C700A3">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w:t>
      </w:r>
      <w:r>
        <w:rPr>
          <w:rFonts w:hint="eastAsia" w:ascii="仿宋_GB2312" w:hAnsi="仿宋_GB2312" w:eastAsia="仿宋_GB2312" w:cs="仿宋_GB2312"/>
          <w:b/>
          <w:bCs/>
          <w:color w:val="auto"/>
          <w:sz w:val="48"/>
          <w:szCs w:val="48"/>
          <w:lang w:val="en-US" w:eastAsia="zh-CN"/>
        </w:rPr>
        <w:t>市城发</w:t>
      </w:r>
      <w:r>
        <w:rPr>
          <w:rFonts w:hint="eastAsia" w:ascii="仿宋_GB2312" w:hAnsi="仿宋_GB2312" w:eastAsia="仿宋_GB2312" w:cs="仿宋_GB2312"/>
          <w:b/>
          <w:bCs/>
          <w:color w:val="auto"/>
          <w:sz w:val="48"/>
          <w:szCs w:val="48"/>
        </w:rPr>
        <w:t>矿业有限公司</w:t>
      </w:r>
    </w:p>
    <w:p w14:paraId="7AF55611">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r>
        <w:rPr>
          <w:rFonts w:hint="eastAsia" w:ascii="仿宋_GB2312" w:hAnsi="仿宋_GB2312" w:eastAsia="仿宋_GB2312" w:cs="仿宋_GB2312"/>
          <w:b/>
          <w:bCs/>
          <w:color w:val="auto"/>
          <w:sz w:val="48"/>
          <w:szCs w:val="48"/>
          <w:lang w:val="en-US" w:eastAsia="zh-CN"/>
        </w:rPr>
        <w:t>排废土夹石销售</w:t>
      </w:r>
      <w:r>
        <w:rPr>
          <w:rFonts w:hint="eastAsia" w:ascii="仿宋_GB2312" w:hAnsi="仿宋_GB2312" w:eastAsia="仿宋_GB2312" w:cs="仿宋_GB2312"/>
          <w:b/>
          <w:bCs/>
          <w:color w:val="auto"/>
          <w:sz w:val="48"/>
          <w:szCs w:val="48"/>
        </w:rPr>
        <w:t>项目</w:t>
      </w:r>
    </w:p>
    <w:bookmarkEnd w:id="0"/>
    <w:p w14:paraId="11B7335A">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14:paraId="49AA284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14:paraId="017A182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24C13B5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641EDFD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9B4B54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17C4F4D">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09BDC64F">
      <w:pPr>
        <w:keepNext w:val="0"/>
        <w:keepLines w:val="0"/>
        <w:pageBreakBefore w:val="0"/>
        <w:kinsoku/>
        <w:wordWrap/>
        <w:topLinePunct w:val="0"/>
        <w:bidi w:val="0"/>
        <w:spacing w:line="440" w:lineRule="exact"/>
        <w:ind w:left="694" w:right="1276"/>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项目编号：</w:t>
      </w:r>
      <w:r>
        <w:rPr>
          <w:rFonts w:hint="eastAsia" w:ascii="仿宋_GB2312" w:hAnsi="仿宋_GB2312" w:eastAsia="仿宋_GB2312" w:cs="仿宋_GB2312"/>
          <w:bCs/>
          <w:color w:val="auto"/>
          <w:sz w:val="32"/>
          <w:szCs w:val="32"/>
          <w:lang w:val="en-US" w:eastAsia="zh-CN"/>
        </w:rPr>
        <w:t>CFKY</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val="en-US" w:eastAsia="zh-CN"/>
        </w:rPr>
        <w:t>002</w:t>
      </w:r>
    </w:p>
    <w:p w14:paraId="5F646ADE">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Cs/>
          <w:color w:val="auto"/>
          <w:sz w:val="32"/>
          <w:szCs w:val="32"/>
        </w:rPr>
        <w:t>招标人：</w:t>
      </w:r>
      <w:r>
        <w:rPr>
          <w:rFonts w:hint="eastAsia" w:ascii="仿宋_GB2312" w:hAnsi="仿宋_GB2312" w:eastAsia="仿宋_GB2312" w:cs="仿宋_GB2312"/>
          <w:color w:val="auto"/>
          <w:sz w:val="32"/>
          <w:szCs w:val="32"/>
          <w:lang w:eastAsia="zh-CN"/>
        </w:rPr>
        <w:t>黄石市城发矿业有限公司</w:t>
      </w:r>
    </w:p>
    <w:p w14:paraId="5195D6F1">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66BAD1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p>
    <w:p w14:paraId="038269F1">
      <w:pPr>
        <w:keepNext w:val="0"/>
        <w:keepLines w:val="0"/>
        <w:pageBreakBefore w:val="0"/>
        <w:kinsoku/>
        <w:wordWrap/>
        <w:topLinePunct w:val="0"/>
        <w:bidi w:val="0"/>
        <w:spacing w:line="240" w:lineRule="auto"/>
        <w:jc w:val="both"/>
        <w:rPr>
          <w:rFonts w:hint="eastAsia" w:asciiTheme="minorHAnsi" w:hAnsiTheme="minorHAnsi" w:eastAsiaTheme="minorEastAsia" w:cstheme="minorBidi"/>
          <w:color w:val="auto"/>
          <w:kern w:val="2"/>
          <w:sz w:val="21"/>
          <w:szCs w:val="22"/>
          <w:lang w:val="en-US" w:eastAsia="zh-CN" w:bidi="ar-SA"/>
        </w:rPr>
      </w:pPr>
      <w:r>
        <w:rPr>
          <w:rFonts w:hint="eastAsia" w:ascii="仿宋_GB2312" w:hAnsi="仿宋_GB2312" w:eastAsia="仿宋_GB2312" w:cs="仿宋_GB2312"/>
          <w:b/>
          <w:color w:val="auto"/>
          <w:sz w:val="32"/>
          <w:szCs w:val="32"/>
        </w:rPr>
        <w:br w:type="page"/>
      </w:r>
    </w:p>
    <w:p w14:paraId="304658B4">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14:paraId="0D4A53F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5D7FA2D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0B6845C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eastAsia="zh-CN"/>
        </w:rPr>
        <w:t>黄石市城发矿业有限公司排废土夹石</w:t>
      </w: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公开</w:t>
      </w:r>
      <w:r>
        <w:rPr>
          <w:rFonts w:hint="eastAsia" w:ascii="仿宋_GB2312" w:hAnsi="仿宋_GB2312" w:eastAsia="仿宋_GB2312" w:cs="仿宋_GB2312"/>
          <w:color w:val="auto"/>
          <w:sz w:val="32"/>
          <w:szCs w:val="32"/>
        </w:rPr>
        <w:t>竞价方式销售，欢迎符合条件的竞买人前来竞价。</w:t>
      </w:r>
    </w:p>
    <w:p w14:paraId="77BC8680">
      <w:pPr>
        <w:pStyle w:val="15"/>
        <w:keepNext w:val="0"/>
        <w:keepLines w:val="0"/>
        <w:pageBreakBefore w:val="0"/>
        <w:numPr>
          <w:ilvl w:val="0"/>
          <w:numId w:val="1"/>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竞价项目名称及标的物：</w:t>
      </w:r>
      <w:r>
        <w:rPr>
          <w:rFonts w:hint="eastAsia" w:ascii="仿宋_GB2312" w:hAnsi="仿宋_GB2312" w:eastAsia="仿宋_GB2312" w:cs="仿宋_GB2312"/>
          <w:color w:val="auto"/>
          <w:sz w:val="32"/>
          <w:szCs w:val="32"/>
          <w:lang w:eastAsia="zh-CN"/>
        </w:rPr>
        <w:t>黄石市城发矿业有限公司排废土夹石（</w:t>
      </w:r>
      <w:r>
        <w:rPr>
          <w:rFonts w:hint="eastAsia" w:ascii="仿宋_GB2312" w:hAnsi="仿宋_GB2312" w:eastAsia="仿宋_GB2312" w:cs="仿宋_GB2312"/>
          <w:color w:val="auto"/>
          <w:sz w:val="32"/>
          <w:szCs w:val="32"/>
          <w:lang w:val="en-US" w:eastAsia="zh-CN"/>
        </w:rPr>
        <w:t>土含量50%、石含量50%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共计</w:t>
      </w: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color w:val="auto"/>
          <w:sz w:val="32"/>
          <w:szCs w:val="32"/>
        </w:rPr>
        <w:t>万吨，</w:t>
      </w:r>
      <w:r>
        <w:rPr>
          <w:rFonts w:hint="eastAsia" w:ascii="仿宋_GB2312" w:hAnsi="仿宋_GB2312" w:eastAsia="仿宋_GB2312" w:cs="仿宋_GB2312"/>
          <w:color w:val="auto"/>
          <w:sz w:val="32"/>
          <w:szCs w:val="32"/>
          <w:lang w:val="en-US" w:eastAsia="zh-CN"/>
        </w:rPr>
        <w:t>详细情况请参与竞买方</w:t>
      </w:r>
      <w:r>
        <w:rPr>
          <w:rFonts w:hint="eastAsia" w:ascii="仿宋_GB2312" w:hAnsi="仿宋_GB2312" w:eastAsia="仿宋_GB2312" w:cs="仿宋_GB2312"/>
          <w:color w:val="auto"/>
          <w:sz w:val="32"/>
          <w:szCs w:val="32"/>
        </w:rPr>
        <w:t>实地自行勘察。</w:t>
      </w:r>
    </w:p>
    <w:p w14:paraId="55C39375">
      <w:pPr>
        <w:keepNext w:val="0"/>
        <w:keepLines w:val="0"/>
        <w:pageBreakBefore w:val="0"/>
        <w:kinsoku/>
        <w:wordWrap/>
        <w:topLinePunct w:val="0"/>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drawing>
          <wp:inline distT="0" distB="0" distL="114300" distR="114300">
            <wp:extent cx="5276215" cy="3327400"/>
            <wp:effectExtent l="0" t="0" r="635" b="6350"/>
            <wp:docPr id="7" name="图片 7" descr="172862725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28627250018"/>
                    <pic:cNvPicPr>
                      <a:picLocks noChangeAspect="1"/>
                    </pic:cNvPicPr>
                  </pic:nvPicPr>
                  <pic:blipFill>
                    <a:blip r:embed="rId6"/>
                    <a:stretch>
                      <a:fillRect/>
                    </a:stretch>
                  </pic:blipFill>
                  <pic:spPr>
                    <a:xfrm>
                      <a:off x="0" y="0"/>
                      <a:ext cx="5276215" cy="3327400"/>
                    </a:xfrm>
                    <a:prstGeom prst="rect">
                      <a:avLst/>
                    </a:prstGeom>
                  </pic:spPr>
                </pic:pic>
              </a:graphicData>
            </a:graphic>
          </wp:inline>
        </w:drawing>
      </w:r>
    </w:p>
    <w:p w14:paraId="74A14EA0">
      <w:pPr>
        <w:keepNext w:val="0"/>
        <w:keepLines w:val="0"/>
        <w:pageBreakBefore w:val="0"/>
        <w:kinsoku/>
        <w:wordWrap/>
        <w:topLinePunct w:val="0"/>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drawing>
          <wp:inline distT="0" distB="0" distL="114300" distR="114300">
            <wp:extent cx="5277485" cy="3156585"/>
            <wp:effectExtent l="0" t="0" r="18415" b="5715"/>
            <wp:docPr id="10" name="图片 10" descr="1728627343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28627343690"/>
                    <pic:cNvPicPr>
                      <a:picLocks noChangeAspect="1"/>
                    </pic:cNvPicPr>
                  </pic:nvPicPr>
                  <pic:blipFill>
                    <a:blip r:embed="rId7"/>
                    <a:stretch>
                      <a:fillRect/>
                    </a:stretch>
                  </pic:blipFill>
                  <pic:spPr>
                    <a:xfrm>
                      <a:off x="0" y="0"/>
                      <a:ext cx="5277485" cy="3156585"/>
                    </a:xfrm>
                    <a:prstGeom prst="rect">
                      <a:avLst/>
                    </a:prstGeom>
                  </pic:spPr>
                </pic:pic>
              </a:graphicData>
            </a:graphic>
          </wp:inline>
        </w:drawing>
      </w:r>
    </w:p>
    <w:p w14:paraId="4F3A825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二、竞价方式与有关事项</w:t>
      </w:r>
    </w:p>
    <w:p w14:paraId="6671BBA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1、竞价方式：本次采用竞价方式销售，竞价人需填报竞价单（详见附件），控制价如下：</w:t>
      </w:r>
    </w:p>
    <w:p w14:paraId="374B1D6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排废土夹石料</w:t>
      </w:r>
      <w:r>
        <w:rPr>
          <w:rFonts w:hint="eastAsia" w:ascii="仿宋_GB2312" w:hAnsi="仿宋_GB2312" w:eastAsia="仿宋_GB2312" w:cs="仿宋_GB2312"/>
          <w:color w:val="auto"/>
          <w:kern w:val="0"/>
          <w:sz w:val="32"/>
          <w:szCs w:val="32"/>
          <w:lang w:val="en-US" w:eastAsia="zh-CN"/>
        </w:rPr>
        <w:t>控制价格为8元/吨（不包含铲装费用）。</w:t>
      </w:r>
    </w:p>
    <w:p w14:paraId="3FBC0BE7">
      <w:pPr>
        <w:keepNext w:val="0"/>
        <w:keepLines w:val="0"/>
        <w:pageBreakBefore w:val="0"/>
        <w:kinsoku/>
        <w:wordWrap/>
        <w:topLinePunct w:val="0"/>
        <w:bidi w:val="0"/>
        <w:spacing w:line="440" w:lineRule="exact"/>
        <w:ind w:firstLine="560" w:firstLineChars="200"/>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备注：</w:t>
      </w:r>
      <w:bookmarkStart w:id="1" w:name="OLE_LINK1"/>
      <w:r>
        <w:rPr>
          <w:rFonts w:hint="eastAsia" w:ascii="仿宋_GB2312" w:hAnsi="仿宋_GB2312" w:eastAsia="仿宋_GB2312" w:cs="仿宋_GB2312"/>
          <w:b w:val="0"/>
          <w:bCs/>
          <w:color w:val="auto"/>
          <w:sz w:val="28"/>
          <w:szCs w:val="28"/>
        </w:rPr>
        <w:t>本次</w:t>
      </w:r>
      <w:r>
        <w:rPr>
          <w:rFonts w:hint="eastAsia" w:ascii="仿宋_GB2312" w:hAnsi="仿宋_GB2312" w:eastAsia="仿宋_GB2312" w:cs="仿宋_GB2312"/>
          <w:b w:val="0"/>
          <w:bCs/>
          <w:color w:val="auto"/>
          <w:sz w:val="28"/>
          <w:szCs w:val="28"/>
          <w:lang w:eastAsia="zh-CN"/>
        </w:rPr>
        <w:t>土夹石料</w:t>
      </w:r>
      <w:r>
        <w:rPr>
          <w:rFonts w:hint="eastAsia" w:ascii="仿宋_GB2312" w:hAnsi="仿宋_GB2312" w:eastAsia="仿宋_GB2312" w:cs="仿宋_GB2312"/>
          <w:b w:val="0"/>
          <w:bCs/>
          <w:color w:val="auto"/>
          <w:sz w:val="28"/>
          <w:szCs w:val="28"/>
        </w:rPr>
        <w:t>竞价以价高者得为原则，</w:t>
      </w:r>
      <w:r>
        <w:rPr>
          <w:rFonts w:hint="eastAsia" w:ascii="仿宋_GB2312" w:hAnsi="仿宋_GB2312" w:eastAsia="仿宋_GB2312" w:cs="仿宋_GB2312"/>
          <w:b w:val="0"/>
          <w:bCs/>
          <w:color w:val="auto"/>
          <w:sz w:val="28"/>
          <w:szCs w:val="28"/>
          <w:lang w:val="en-US" w:eastAsia="zh-CN"/>
        </w:rPr>
        <w:t>竞价为在控制价的基础上</w:t>
      </w:r>
      <w:r>
        <w:rPr>
          <w:rFonts w:hint="eastAsia" w:ascii="仿宋_GB2312" w:hAnsi="仿宋_GB2312" w:eastAsia="仿宋_GB2312" w:cs="仿宋_GB2312"/>
          <w:b w:val="0"/>
          <w:bCs/>
          <w:color w:val="auto"/>
          <w:sz w:val="28"/>
          <w:szCs w:val="28"/>
        </w:rPr>
        <w:t>单次上浮</w:t>
      </w:r>
      <w:r>
        <w:rPr>
          <w:rFonts w:hint="eastAsia" w:ascii="仿宋_GB2312" w:hAnsi="仿宋_GB2312" w:eastAsia="仿宋_GB2312" w:cs="仿宋_GB2312"/>
          <w:b w:val="0"/>
          <w:bCs/>
          <w:color w:val="auto"/>
          <w:sz w:val="28"/>
          <w:szCs w:val="28"/>
          <w:lang w:val="en-US" w:eastAsia="zh-CN"/>
        </w:rPr>
        <w:t>0.1元/吨</w:t>
      </w:r>
      <w:r>
        <w:rPr>
          <w:rFonts w:hint="eastAsia" w:ascii="仿宋_GB2312" w:hAnsi="仿宋_GB2312" w:eastAsia="仿宋_GB2312" w:cs="仿宋_GB2312"/>
          <w:b w:val="0"/>
          <w:bCs/>
          <w:color w:val="auto"/>
          <w:sz w:val="28"/>
          <w:szCs w:val="28"/>
        </w:rPr>
        <w:t>或</w:t>
      </w:r>
      <w:r>
        <w:rPr>
          <w:rFonts w:hint="eastAsia" w:ascii="仿宋_GB2312" w:hAnsi="仿宋_GB2312" w:eastAsia="仿宋_GB2312" w:cs="仿宋_GB2312"/>
          <w:b w:val="0"/>
          <w:bCs/>
          <w:color w:val="auto"/>
          <w:sz w:val="28"/>
          <w:szCs w:val="28"/>
          <w:lang w:val="en-US" w:eastAsia="zh-CN"/>
        </w:rPr>
        <w:t>0.1</w:t>
      </w:r>
      <w:r>
        <w:rPr>
          <w:rFonts w:hint="eastAsia" w:ascii="仿宋_GB2312" w:hAnsi="仿宋_GB2312" w:eastAsia="仿宋_GB2312" w:cs="仿宋_GB2312"/>
          <w:b w:val="0"/>
          <w:bCs/>
          <w:color w:val="auto"/>
          <w:sz w:val="28"/>
          <w:szCs w:val="28"/>
        </w:rPr>
        <w:t>的整倍数为</w:t>
      </w:r>
      <w:r>
        <w:rPr>
          <w:rFonts w:hint="eastAsia" w:ascii="仿宋_GB2312" w:hAnsi="仿宋_GB2312" w:eastAsia="仿宋_GB2312" w:cs="仿宋_GB2312"/>
          <w:b w:val="0"/>
          <w:bCs/>
          <w:color w:val="auto"/>
          <w:sz w:val="28"/>
          <w:szCs w:val="28"/>
          <w:lang w:val="en-US" w:eastAsia="zh-CN"/>
        </w:rPr>
        <w:t>最终报价</w:t>
      </w:r>
      <w:r>
        <w:rPr>
          <w:rFonts w:hint="eastAsia" w:ascii="仿宋_GB2312" w:hAnsi="仿宋_GB2312" w:eastAsia="仿宋_GB2312" w:cs="仿宋_GB2312"/>
          <w:b w:val="0"/>
          <w:bCs/>
          <w:color w:val="auto"/>
          <w:sz w:val="28"/>
          <w:szCs w:val="28"/>
          <w:lang w:eastAsia="zh-CN"/>
        </w:rPr>
        <w:t>，</w:t>
      </w:r>
      <w:r>
        <w:rPr>
          <w:rFonts w:hint="eastAsia" w:ascii="仿宋_GB2312" w:hAnsi="仿宋_GB2312" w:eastAsia="仿宋_GB2312" w:cs="仿宋_GB2312"/>
          <w:b w:val="0"/>
          <w:bCs/>
          <w:color w:val="auto"/>
          <w:sz w:val="28"/>
          <w:szCs w:val="28"/>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lang w:val="en-US" w:eastAsia="zh-CN"/>
        </w:rPr>
        <w:t>最终竞价</w:t>
      </w:r>
      <w:r>
        <w:rPr>
          <w:rFonts w:hint="eastAsia" w:ascii="仿宋_GB2312" w:hAnsi="仿宋_GB2312" w:eastAsia="仿宋_GB2312" w:cs="仿宋_GB2312"/>
          <w:b w:val="0"/>
          <w:bCs/>
          <w:color w:val="auto"/>
          <w:sz w:val="28"/>
          <w:szCs w:val="28"/>
        </w:rPr>
        <w:t>为现场交货价，低于控制单价竞价的为无效竞价，以</w:t>
      </w:r>
      <w:r>
        <w:rPr>
          <w:rFonts w:hint="eastAsia" w:ascii="仿宋_GB2312" w:hAnsi="仿宋_GB2312" w:eastAsia="仿宋_GB2312" w:cs="仿宋_GB2312"/>
          <w:b w:val="0"/>
          <w:bCs/>
          <w:color w:val="auto"/>
          <w:sz w:val="28"/>
          <w:szCs w:val="28"/>
          <w:lang w:val="en-US" w:eastAsia="zh-CN"/>
        </w:rPr>
        <w:t>报价加价幅度</w:t>
      </w:r>
      <w:r>
        <w:rPr>
          <w:rFonts w:hint="eastAsia" w:ascii="仿宋_GB2312" w:hAnsi="仿宋_GB2312" w:eastAsia="仿宋_GB2312" w:cs="仿宋_GB2312"/>
          <w:b w:val="0"/>
          <w:bCs/>
          <w:color w:val="auto"/>
          <w:sz w:val="28"/>
          <w:szCs w:val="28"/>
        </w:rPr>
        <w:t>最大的单位视同为成交人，最终</w:t>
      </w:r>
      <w:r>
        <w:rPr>
          <w:rFonts w:hint="eastAsia" w:ascii="仿宋_GB2312" w:hAnsi="仿宋_GB2312" w:eastAsia="仿宋_GB2312" w:cs="仿宋_GB2312"/>
          <w:b w:val="0"/>
          <w:bCs/>
          <w:color w:val="auto"/>
          <w:sz w:val="28"/>
          <w:szCs w:val="28"/>
          <w:lang w:val="en-US" w:eastAsia="zh-CN"/>
        </w:rPr>
        <w:t>成交价</w:t>
      </w:r>
      <w:r>
        <w:rPr>
          <w:rFonts w:hint="eastAsia" w:ascii="仿宋_GB2312" w:hAnsi="仿宋_GB2312" w:eastAsia="仿宋_GB2312" w:cs="仿宋_GB2312"/>
          <w:b w:val="0"/>
          <w:bCs/>
          <w:color w:val="auto"/>
          <w:sz w:val="28"/>
          <w:szCs w:val="28"/>
        </w:rPr>
        <w:t>含3%税费。</w:t>
      </w:r>
    </w:p>
    <w:bookmarkEnd w:id="1"/>
    <w:p w14:paraId="324978F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2、付款方式：</w:t>
      </w:r>
      <w:r>
        <w:rPr>
          <w:rFonts w:hint="eastAsia" w:ascii="仿宋_GB2312" w:hAnsi="仿宋_GB2312" w:eastAsia="仿宋_GB2312" w:cs="仿宋_GB2312"/>
          <w:color w:val="auto"/>
          <w:sz w:val="32"/>
          <w:szCs w:val="32"/>
          <w:lang w:val="en-US" w:eastAsia="zh-CN"/>
        </w:rPr>
        <w:t>竞价成交后三日内一次性付清全款，若未履约，甲方有权终止本次竞价，并没收履约保证金。</w:t>
      </w:r>
    </w:p>
    <w:p w14:paraId="7E95231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装运要求</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根据甲方要求，每天外运不低于2000吨，30天之内必须将标的物的量运完，若乙方装运时不符合甲方的要求，影响甲方生产，甲方有权视情节严重扣除乙方的履约保证金，因竞买人原因导致实际装运量未达到2000吨/天的部分，按2元/吨的标准从履约保证金中扣除；因竞卖人原因或不可控因素导致装运量未达到2000吨/天的，竞买人不承担责任。</w:t>
      </w:r>
    </w:p>
    <w:p w14:paraId="6BC5591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4、供货周期：30天（自然日）</w:t>
      </w:r>
    </w:p>
    <w:p w14:paraId="2F079EB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14:paraId="4C86E76E">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6、其他要求：①</w:t>
      </w:r>
      <w:r>
        <w:rPr>
          <w:rFonts w:hint="eastAsia" w:ascii="仿宋_GB2312" w:hAnsi="仿宋_GB2312" w:eastAsia="仿宋_GB2312" w:cs="仿宋_GB2312"/>
          <w:b w:val="0"/>
          <w:bCs/>
          <w:color w:val="auto"/>
          <w:sz w:val="32"/>
          <w:szCs w:val="32"/>
          <w:lang w:val="en-US" w:eastAsia="zh-CN"/>
        </w:rPr>
        <w:t>因本项目的总承包单位为中铁十九局集团有限公司，为确保本项目的安全、环保各项指标达标，中标方需与中铁十九局集团有限公司自行协商铲装，包括但不仅限于费用等由我方负责协调管理。</w:t>
      </w:r>
      <w:r>
        <w:rPr>
          <w:rFonts w:hint="eastAsia" w:ascii="仿宋_GB2312" w:hAnsi="仿宋_GB2312" w:eastAsia="仿宋_GB2312" w:cs="仿宋_GB2312"/>
          <w:color w:val="auto"/>
          <w:sz w:val="32"/>
          <w:szCs w:val="32"/>
        </w:rPr>
        <w:t>本次竞卖</w:t>
      </w:r>
      <w:r>
        <w:rPr>
          <w:rFonts w:hint="eastAsia" w:ascii="仿宋_GB2312" w:hAnsi="仿宋_GB2312" w:eastAsia="仿宋_GB2312" w:cs="仿宋_GB2312"/>
          <w:color w:val="auto"/>
          <w:sz w:val="32"/>
          <w:szCs w:val="32"/>
          <w:lang w:val="en-US" w:eastAsia="zh-CN"/>
        </w:rPr>
        <w:t>土夹石料</w:t>
      </w:r>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自行带车提货，提货过程中车辆、人员需服从竞卖人统一指挥和管理。运输车辆由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color w:val="auto"/>
          <w:sz w:val="32"/>
          <w:szCs w:val="32"/>
          <w:lang w:val="en-US" w:eastAsia="zh-CN"/>
        </w:rPr>
        <w:t>竞</w:t>
      </w:r>
      <w:r>
        <w:rPr>
          <w:rFonts w:hint="eastAsia" w:ascii="仿宋_GB2312" w:hAnsi="仿宋_GB2312" w:eastAsia="仿宋_GB2312" w:cs="仿宋_GB2312"/>
          <w:color w:val="auto"/>
          <w:sz w:val="32"/>
          <w:szCs w:val="32"/>
        </w:rPr>
        <w:t>买人承担，运输所需要手续由</w:t>
      </w:r>
      <w:r>
        <w:rPr>
          <w:rFonts w:hint="eastAsia" w:ascii="仿宋_GB2312" w:hAnsi="仿宋_GB2312" w:eastAsia="仿宋_GB2312" w:cs="仿宋_GB2312"/>
          <w:color w:val="auto"/>
          <w:sz w:val="32"/>
          <w:szCs w:val="32"/>
          <w:lang w:val="en-US" w:eastAsia="zh-CN"/>
        </w:rPr>
        <w:t>竞</w:t>
      </w:r>
      <w:r>
        <w:rPr>
          <w:rFonts w:hint="eastAsia" w:ascii="仿宋_GB2312" w:hAnsi="仿宋_GB2312" w:eastAsia="仿宋_GB2312" w:cs="仿宋_GB2312"/>
          <w:color w:val="auto"/>
          <w:sz w:val="32"/>
          <w:szCs w:val="32"/>
        </w:rPr>
        <w:t>买人负责办理，需办理运输车辆及岗位操作人员的意外及财产保险，因运输产生的安全事故、纠纷等由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负责，与竞卖人无关。</w:t>
      </w:r>
      <w:r>
        <w:rPr>
          <w:rFonts w:hint="eastAsia" w:ascii="仿宋_GB2312" w:hAnsi="仿宋_GB2312" w:eastAsia="仿宋_GB2312" w:cs="仿宋_GB2312"/>
          <w:color w:val="auto"/>
          <w:sz w:val="32"/>
          <w:szCs w:val="32"/>
          <w:lang w:eastAsia="zh-CN"/>
        </w:rPr>
        <w:t>土夹石料</w:t>
      </w:r>
      <w:r>
        <w:rPr>
          <w:rFonts w:hint="eastAsia" w:ascii="仿宋_GB2312" w:hAnsi="仿宋_GB2312" w:eastAsia="仿宋_GB2312" w:cs="仿宋_GB2312"/>
          <w:color w:val="auto"/>
          <w:sz w:val="32"/>
          <w:szCs w:val="32"/>
        </w:rPr>
        <w:t>装车后必须到竞卖人指定的过磅处称重，</w:t>
      </w:r>
      <w:r>
        <w:rPr>
          <w:rFonts w:hint="eastAsia" w:ascii="仿宋_GB2312" w:hAnsi="仿宋_GB2312" w:eastAsia="仿宋_GB2312" w:cs="仿宋_GB2312"/>
          <w:color w:val="auto"/>
          <w:sz w:val="32"/>
          <w:szCs w:val="32"/>
          <w:lang w:eastAsia="zh-CN"/>
        </w:rPr>
        <w:t>凭称重后的</w:t>
      </w:r>
      <w:r>
        <w:rPr>
          <w:rFonts w:hint="eastAsia" w:ascii="仿宋_GB2312" w:hAnsi="仿宋_GB2312" w:eastAsia="仿宋_GB2312" w:cs="仿宋_GB2312"/>
          <w:color w:val="auto"/>
          <w:sz w:val="32"/>
          <w:szCs w:val="32"/>
        </w:rPr>
        <w:t>结算单及竞卖人印发的通行证方可离开，过磅后竞卖人不再对产品重量及质量负责。</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运输车辆要服从竞卖人的工作人员指挥，维护运输安全秩序，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②中标方需在规定时限内全额缴纳保证金及货款。③中标方自行协调工农关系等问题，承担实施过程中产生的各种风险。</w:t>
      </w:r>
    </w:p>
    <w:p w14:paraId="649D7E1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r>
        <w:rPr>
          <w:rFonts w:hint="eastAsia" w:ascii="仿宋_GB2312" w:hAnsi="仿宋_GB2312" w:eastAsia="仿宋_GB2312" w:cs="仿宋_GB2312"/>
          <w:color w:val="auto"/>
          <w:sz w:val="32"/>
          <w:szCs w:val="32"/>
          <w:lang w:eastAsia="zh-CN"/>
        </w:rPr>
        <w:t>：</w:t>
      </w:r>
    </w:p>
    <w:p w14:paraId="22D25C9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1、竞买人须具备独立的法人资格</w:t>
      </w:r>
      <w:r>
        <w:rPr>
          <w:rFonts w:hint="eastAsia" w:ascii="仿宋_GB2312" w:hAnsi="仿宋_GB2312" w:eastAsia="仿宋_GB2312" w:cs="仿宋_GB2312"/>
          <w:color w:val="auto"/>
          <w:sz w:val="32"/>
          <w:szCs w:val="32"/>
          <w:lang w:eastAsia="zh-CN"/>
        </w:rPr>
        <w:t>。</w:t>
      </w:r>
    </w:p>
    <w:p w14:paraId="000356B6">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2、竞买人需缴纳投标保证金10万元整。</w:t>
      </w:r>
    </w:p>
    <w:p w14:paraId="7800A38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、本次竞价不接受联合体参与。</w:t>
      </w:r>
    </w:p>
    <w:p w14:paraId="56FC3F3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4、一旦参与竞价，则视同同意上述规定要求。</w:t>
      </w:r>
    </w:p>
    <w:p w14:paraId="3924DD58">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5、提供承诺函（详见附件）。</w:t>
      </w:r>
    </w:p>
    <w:p w14:paraId="000D79B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四</w:t>
      </w:r>
      <w:r>
        <w:rPr>
          <w:rFonts w:hint="eastAsia" w:ascii="仿宋_GB2312" w:hAnsi="仿宋_GB2312" w:eastAsia="仿宋_GB2312" w:cs="仿宋_GB2312"/>
          <w:color w:val="auto"/>
          <w:kern w:val="0"/>
          <w:sz w:val="32"/>
          <w:szCs w:val="32"/>
        </w:rPr>
        <w:t>、竞价文件的获取：</w:t>
      </w:r>
    </w:p>
    <w:p w14:paraId="22983096">
      <w:pPr>
        <w:pStyle w:val="4"/>
        <w:keepNext w:val="0"/>
        <w:keepLines w:val="0"/>
        <w:pageBreakBefore w:val="0"/>
        <w:widowControl w:val="0"/>
        <w:kinsoku/>
        <w:wordWrap/>
        <w:overflowPunct/>
        <w:topLinePunct w:val="0"/>
        <w:autoSpaceDE/>
        <w:autoSpaceDN/>
        <w:bidi w:val="0"/>
        <w:adjustRightInd/>
        <w:snapToGrid/>
        <w:spacing w:after="0" w:line="4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获取方式 ：</w:t>
      </w:r>
      <w:r>
        <w:rPr>
          <w:rFonts w:hint="eastAsia" w:ascii="仿宋_GB2312" w:hAnsi="仿宋_GB2312" w:eastAsia="仿宋_GB2312" w:cs="仿宋_GB2312"/>
          <w:color w:val="auto"/>
          <w:kern w:val="0"/>
          <w:sz w:val="32"/>
          <w:szCs w:val="32"/>
          <w:lang w:val="en-US" w:eastAsia="zh-CN"/>
        </w:rPr>
        <w:t>在公告附件处自行下载。</w:t>
      </w:r>
    </w:p>
    <w:p w14:paraId="187E6A4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2、若竞价时间、地点以及项目其它相关内容发生变更，将在</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kern w:val="0"/>
          <w:sz w:val="32"/>
          <w:szCs w:val="32"/>
        </w:rPr>
        <w:t>黄</w:t>
      </w:r>
      <w:bookmarkStart w:id="2" w:name="_Hlt50495939"/>
      <w:bookmarkEnd w:id="2"/>
      <w:r>
        <w:rPr>
          <w:rFonts w:hint="eastAsia" w:ascii="仿宋_GB2312" w:hAnsi="仿宋_GB2312" w:eastAsia="仿宋_GB2312" w:cs="仿宋_GB2312"/>
          <w:color w:val="auto"/>
          <w:kern w:val="0"/>
          <w:sz w:val="32"/>
          <w:szCs w:val="32"/>
        </w:rPr>
        <w:t>石市城市发</w:t>
      </w: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展投资集团有限公司门户网站发布变更公告，请各竞价人随时关注相关信息。 </w:t>
      </w:r>
    </w:p>
    <w:p w14:paraId="6F1E208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五</w:t>
      </w:r>
      <w:r>
        <w:rPr>
          <w:rFonts w:hint="eastAsia" w:ascii="仿宋_GB2312" w:hAnsi="仿宋_GB2312" w:eastAsia="仿宋_GB2312" w:cs="仿宋_GB2312"/>
          <w:color w:val="auto"/>
          <w:kern w:val="0"/>
          <w:sz w:val="32"/>
          <w:szCs w:val="32"/>
        </w:rPr>
        <w:t xml:space="preserve">、竞价响应文件递交截止时间、地点： </w:t>
      </w:r>
    </w:p>
    <w:p w14:paraId="47FB915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1、竞价响应文件递交截止时间（竞价时间）：202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15日上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整。</w:t>
      </w:r>
    </w:p>
    <w:p w14:paraId="264F49E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fldChar w:fldCharType="begin"/>
      </w:r>
      <w:r>
        <w:rPr>
          <w:rFonts w:hint="eastAsia" w:ascii="仿宋_GB2312" w:hAnsi="仿宋_GB2312" w:eastAsia="仿宋_GB2312" w:cs="仿宋_GB2312"/>
          <w:color w:val="auto"/>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rPr>
        <w:fldChar w:fldCharType="separate"/>
      </w:r>
      <w:r>
        <w:rPr>
          <w:rFonts w:hint="eastAsia" w:ascii="仿宋_GB2312" w:hAnsi="仿宋_GB2312" w:eastAsia="仿宋_GB2312" w:cs="仿宋_GB2312"/>
          <w:color w:val="auto"/>
          <w:kern w:val="0"/>
          <w:sz w:val="32"/>
          <w:szCs w:val="32"/>
        </w:rPr>
        <w:t>2、竞价地点：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413E2E76">
      <w:pPr>
        <w:keepNext w:val="0"/>
        <w:keepLines w:val="0"/>
        <w:pageBreakBefore w:val="0"/>
        <w:kinsoku/>
        <w:wordWrap/>
        <w:topLinePunct w:val="0"/>
        <w:bidi w:val="0"/>
        <w:spacing w:line="440" w:lineRule="exac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    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各竞价人授权代表（即参会人员）持纸质投标文件（一正二副）、身份证、授权委托书原件按时参加竞价会。</w:t>
      </w:r>
    </w:p>
    <w:p w14:paraId="41A9120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 xml:space="preserve">、发布公告的媒介 </w:t>
      </w:r>
    </w:p>
    <w:p w14:paraId="0750707A">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w:t>
      </w:r>
      <w:r>
        <w:rPr>
          <w:rFonts w:hint="eastAsia" w:ascii="仿宋_GB2312" w:hAnsi="仿宋_GB2312" w:eastAsia="仿宋_GB2312" w:cs="仿宋_GB2312"/>
          <w:color w:val="auto"/>
          <w:kern w:val="0"/>
          <w:sz w:val="32"/>
          <w:szCs w:val="32"/>
          <w:lang w:val="en-US" w:eastAsia="zh-CN"/>
        </w:rPr>
        <w:t>布</w:t>
      </w:r>
      <w:r>
        <w:rPr>
          <w:rFonts w:hint="eastAsia" w:ascii="仿宋_GB2312" w:hAnsi="仿宋_GB2312" w:eastAsia="仿宋_GB2312" w:cs="仿宋_GB2312"/>
          <w:color w:val="auto"/>
          <w:kern w:val="0"/>
          <w:sz w:val="28"/>
          <w:szCs w:val="28"/>
          <w:lang w:eastAsia="zh-CN"/>
        </w:rPr>
        <w:t>（http://www.hscfjt.com/arts.php?classid=294）</w:t>
      </w:r>
      <w:r>
        <w:rPr>
          <w:rFonts w:hint="eastAsia" w:ascii="仿宋_GB2312" w:hAnsi="仿宋_GB2312" w:eastAsia="仿宋_GB2312" w:cs="仿宋_GB2312"/>
          <w:color w:val="auto"/>
          <w:kern w:val="0"/>
          <w:sz w:val="32"/>
          <w:szCs w:val="32"/>
        </w:rPr>
        <w:t>。</w:t>
      </w:r>
    </w:p>
    <w:p w14:paraId="2E2CB9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 xml:space="preserve">、联系方式 </w:t>
      </w:r>
    </w:p>
    <w:p w14:paraId="7D3593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竞卖人：</w:t>
      </w:r>
      <w:r>
        <w:rPr>
          <w:rFonts w:hint="eastAsia" w:ascii="仿宋_GB2312" w:hAnsi="仿宋_GB2312" w:eastAsia="仿宋_GB2312" w:cs="仿宋_GB2312"/>
          <w:color w:val="auto"/>
          <w:kern w:val="0"/>
          <w:sz w:val="32"/>
          <w:szCs w:val="32"/>
          <w:lang w:eastAsia="zh-CN"/>
        </w:rPr>
        <w:t>黄石市城发矿业有限公司</w:t>
      </w:r>
    </w:p>
    <w:p w14:paraId="5342E92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 xml:space="preserve">董工       </w:t>
      </w:r>
    </w:p>
    <w:p w14:paraId="346882F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kern w:val="2"/>
          <w:sz w:val="32"/>
          <w:szCs w:val="32"/>
          <w:lang w:val="en-US" w:eastAsia="zh-CN" w:bidi="ar-SA"/>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15826954238</w:t>
      </w:r>
    </w:p>
    <w:p w14:paraId="14D4DF52">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14:paraId="65189E8D">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14:paraId="2EEF0D6D">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3" w:name="_Toc321980790"/>
      <w:r>
        <w:rPr>
          <w:rFonts w:hint="eastAsia" w:ascii="仿宋_GB2312" w:hAnsi="仿宋_GB2312" w:eastAsia="仿宋_GB2312" w:cs="仿宋_GB2312"/>
          <w:b/>
          <w:color w:val="auto"/>
          <w:sz w:val="32"/>
          <w:szCs w:val="32"/>
        </w:rPr>
        <w:t>前附表</w:t>
      </w:r>
      <w:bookmarkEnd w:id="3"/>
    </w:p>
    <w:tbl>
      <w:tblPr>
        <w:tblStyle w:val="11"/>
        <w:tblpPr w:leftFromText="180" w:rightFromText="180" w:vertAnchor="text" w:horzAnchor="page" w:tblpX="1503" w:tblpY="606"/>
        <w:tblOverlap w:val="never"/>
        <w:tblW w:w="55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583"/>
        <w:gridCol w:w="7149"/>
      </w:tblGrid>
      <w:tr w14:paraId="1CD7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25" w:type="pct"/>
            <w:vAlign w:val="center"/>
          </w:tcPr>
          <w:p w14:paraId="677117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4" w:name="_Toc50036753"/>
            <w:bookmarkStart w:id="5" w:name="_Toc50036791"/>
            <w:bookmarkStart w:id="6" w:name="_Toc50037710"/>
            <w:bookmarkStart w:id="7" w:name="_Toc50037782"/>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29" w:type="pct"/>
            <w:vAlign w:val="center"/>
          </w:tcPr>
          <w:p w14:paraId="485905A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744" w:type="pct"/>
            <w:vAlign w:val="center"/>
          </w:tcPr>
          <w:p w14:paraId="58C41DE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14:paraId="55DA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5" w:type="pct"/>
            <w:vAlign w:val="center"/>
          </w:tcPr>
          <w:p w14:paraId="5397706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29" w:type="pct"/>
            <w:vAlign w:val="center"/>
          </w:tcPr>
          <w:p w14:paraId="0C0A02BD">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744" w:type="pct"/>
            <w:vAlign w:val="center"/>
          </w:tcPr>
          <w:p w14:paraId="412AE37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rPr>
              <w:t>排废土夹石</w:t>
            </w:r>
            <w:r>
              <w:rPr>
                <w:rFonts w:hint="eastAsia" w:ascii="仿宋_GB2312" w:hAnsi="仿宋_GB2312" w:eastAsia="仿宋_GB2312" w:cs="仿宋_GB2312"/>
                <w:color w:val="auto"/>
                <w:kern w:val="0"/>
                <w:sz w:val="32"/>
                <w:szCs w:val="32"/>
                <w:lang w:val="en-US" w:eastAsia="zh-CN"/>
              </w:rPr>
              <w:t>项目</w:t>
            </w:r>
          </w:p>
        </w:tc>
      </w:tr>
      <w:tr w14:paraId="0287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 w:type="pct"/>
            <w:vAlign w:val="center"/>
          </w:tcPr>
          <w:p w14:paraId="7BB8F2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29" w:type="pct"/>
            <w:vAlign w:val="center"/>
          </w:tcPr>
          <w:p w14:paraId="6CD9D39B">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744" w:type="pct"/>
            <w:vAlign w:val="center"/>
          </w:tcPr>
          <w:p w14:paraId="418D5FAB">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指定范围内</w:t>
            </w:r>
          </w:p>
        </w:tc>
      </w:tr>
      <w:tr w14:paraId="709E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25" w:type="pct"/>
            <w:vAlign w:val="center"/>
          </w:tcPr>
          <w:p w14:paraId="67EECD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p>
        </w:tc>
        <w:tc>
          <w:tcPr>
            <w:tcW w:w="829" w:type="pct"/>
            <w:vAlign w:val="center"/>
          </w:tcPr>
          <w:p w14:paraId="2299CBBA">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744" w:type="pct"/>
            <w:vAlign w:val="center"/>
          </w:tcPr>
          <w:p w14:paraId="24C4502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14:paraId="40B67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25" w:type="pct"/>
            <w:vAlign w:val="center"/>
          </w:tcPr>
          <w:p w14:paraId="70D322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29" w:type="pct"/>
            <w:vAlign w:val="center"/>
          </w:tcPr>
          <w:p w14:paraId="460FF19C">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付款方式</w:t>
            </w:r>
          </w:p>
        </w:tc>
        <w:tc>
          <w:tcPr>
            <w:tcW w:w="3744" w:type="pct"/>
            <w:vAlign w:val="center"/>
          </w:tcPr>
          <w:p w14:paraId="1E88EF07">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履约保证金</w:t>
            </w:r>
            <w:r>
              <w:rPr>
                <w:rFonts w:hint="eastAsia" w:ascii="仿宋_GB2312" w:hAnsi="仿宋_GB2312" w:eastAsia="仿宋_GB2312" w:cs="仿宋_GB2312"/>
                <w:b w:val="0"/>
                <w:bCs/>
                <w:color w:val="auto"/>
                <w:sz w:val="32"/>
                <w:szCs w:val="32"/>
                <w:lang w:val="en-US" w:eastAsia="zh-CN"/>
              </w:rPr>
              <w:t>人民币壹拾</w:t>
            </w:r>
            <w:r>
              <w:rPr>
                <w:rFonts w:hint="eastAsia" w:ascii="仿宋_GB2312" w:hAnsi="仿宋_GB2312" w:eastAsia="仿宋_GB2312" w:cs="仿宋_GB2312"/>
                <w:b w:val="0"/>
                <w:bCs/>
                <w:color w:val="auto"/>
                <w:sz w:val="32"/>
                <w:szCs w:val="32"/>
              </w:rPr>
              <w:t>万元整，</w:t>
            </w:r>
            <w:r>
              <w:rPr>
                <w:rFonts w:hint="eastAsia" w:ascii="仿宋_GB2312" w:hAnsi="仿宋_GB2312" w:eastAsia="仿宋_GB2312" w:cs="仿宋_GB2312"/>
                <w:color w:val="auto"/>
                <w:sz w:val="32"/>
                <w:szCs w:val="32"/>
              </w:rPr>
              <w:t>签</w:t>
            </w:r>
            <w:r>
              <w:rPr>
                <w:rFonts w:hint="eastAsia" w:ascii="仿宋_GB2312" w:hAnsi="仿宋_GB2312" w:eastAsia="仿宋_GB2312" w:cs="仿宋_GB2312"/>
                <w:color w:val="auto"/>
                <w:sz w:val="32"/>
                <w:szCs w:val="32"/>
                <w:lang w:val="en-US" w:eastAsia="zh-CN"/>
              </w:rPr>
              <w:t>订</w:t>
            </w:r>
            <w:r>
              <w:rPr>
                <w:rFonts w:hint="eastAsia" w:ascii="仿宋_GB2312" w:hAnsi="仿宋_GB2312" w:eastAsia="仿宋_GB2312" w:cs="仿宋_GB2312"/>
                <w:color w:val="auto"/>
                <w:sz w:val="32"/>
                <w:szCs w:val="32"/>
              </w:rPr>
              <w:t>合同前向竞卖人交纳。合同履约完毕，无违约行为，一周内无息退还。</w:t>
            </w:r>
          </w:p>
          <w:p w14:paraId="366346B4">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本项目采取先款后货的方式销售。</w:t>
            </w:r>
          </w:p>
          <w:p w14:paraId="7A7DED9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竞价成交</w:t>
            </w:r>
            <w:r>
              <w:rPr>
                <w:rFonts w:hint="eastAsia" w:ascii="仿宋_GB2312" w:hAnsi="仿宋_GB2312" w:eastAsia="仿宋_GB2312" w:cs="仿宋_GB2312"/>
                <w:b w:val="0"/>
                <w:bCs w:val="0"/>
                <w:color w:val="auto"/>
                <w:sz w:val="32"/>
                <w:szCs w:val="32"/>
              </w:rPr>
              <w:t>后3日内缴纳</w:t>
            </w:r>
            <w:r>
              <w:rPr>
                <w:rFonts w:hint="eastAsia" w:ascii="仿宋_GB2312" w:hAnsi="仿宋_GB2312" w:eastAsia="仿宋_GB2312" w:cs="仿宋_GB2312"/>
                <w:b w:val="0"/>
                <w:bCs w:val="0"/>
                <w:color w:val="auto"/>
                <w:sz w:val="32"/>
                <w:szCs w:val="32"/>
                <w:lang w:val="en-US" w:eastAsia="zh-CN"/>
              </w:rPr>
              <w:t>全部</w:t>
            </w:r>
            <w:r>
              <w:rPr>
                <w:rFonts w:hint="eastAsia" w:ascii="仿宋_GB2312" w:hAnsi="仿宋_GB2312" w:eastAsia="仿宋_GB2312" w:cs="仿宋_GB2312"/>
                <w:b w:val="0"/>
                <w:bCs w:val="0"/>
                <w:color w:val="auto"/>
                <w:sz w:val="32"/>
                <w:szCs w:val="32"/>
              </w:rPr>
              <w:t>货款。</w:t>
            </w:r>
            <w:r>
              <w:rPr>
                <w:rFonts w:hint="eastAsia" w:ascii="仿宋_GB2312" w:hAnsi="仿宋_GB2312" w:eastAsia="仿宋_GB2312" w:cs="仿宋_GB2312"/>
                <w:color w:val="auto"/>
                <w:sz w:val="32"/>
                <w:szCs w:val="32"/>
              </w:rPr>
              <w:t>若成交人逾期缴纳相关款项，甲方有权另行选择购货单位并终止合同。</w:t>
            </w:r>
          </w:p>
        </w:tc>
      </w:tr>
      <w:tr w14:paraId="5F18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5" w:type="pct"/>
            <w:vAlign w:val="center"/>
          </w:tcPr>
          <w:p w14:paraId="218CC5B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29" w:type="pct"/>
            <w:vAlign w:val="center"/>
          </w:tcPr>
          <w:p w14:paraId="5EFDB7B4">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744" w:type="pct"/>
            <w:vAlign w:val="center"/>
          </w:tcPr>
          <w:p w14:paraId="232471AA">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14:paraId="3AD2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5" w:type="pct"/>
            <w:vAlign w:val="center"/>
          </w:tcPr>
          <w:p w14:paraId="693AF9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p>
        </w:tc>
        <w:tc>
          <w:tcPr>
            <w:tcW w:w="829" w:type="pct"/>
            <w:vAlign w:val="center"/>
          </w:tcPr>
          <w:p w14:paraId="69C2A7F8">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销售周期</w:t>
            </w:r>
          </w:p>
        </w:tc>
        <w:tc>
          <w:tcPr>
            <w:tcW w:w="3744" w:type="pct"/>
            <w:vAlign w:val="center"/>
          </w:tcPr>
          <w:p w14:paraId="56E5D06B">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30天（自然日）</w:t>
            </w:r>
          </w:p>
        </w:tc>
      </w:tr>
      <w:tr w14:paraId="71306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425" w:type="pct"/>
            <w:vAlign w:val="center"/>
          </w:tcPr>
          <w:p w14:paraId="254955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w:t>
            </w:r>
          </w:p>
        </w:tc>
        <w:tc>
          <w:tcPr>
            <w:tcW w:w="829" w:type="pct"/>
            <w:vAlign w:val="center"/>
          </w:tcPr>
          <w:p w14:paraId="0AAEEC27">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744" w:type="pct"/>
            <w:vAlign w:val="center"/>
          </w:tcPr>
          <w:p w14:paraId="672C2F3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14:paraId="01545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25" w:type="pct"/>
            <w:vAlign w:val="center"/>
          </w:tcPr>
          <w:p w14:paraId="580C56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w:t>
            </w:r>
          </w:p>
        </w:tc>
        <w:tc>
          <w:tcPr>
            <w:tcW w:w="829" w:type="pct"/>
            <w:vAlign w:val="center"/>
          </w:tcPr>
          <w:p w14:paraId="25BB5BF7">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744" w:type="pct"/>
            <w:vAlign w:val="center"/>
          </w:tcPr>
          <w:p w14:paraId="12549D90">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14:paraId="1CC14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25" w:type="pct"/>
            <w:vAlign w:val="center"/>
          </w:tcPr>
          <w:p w14:paraId="246655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w:t>
            </w:r>
          </w:p>
        </w:tc>
        <w:tc>
          <w:tcPr>
            <w:tcW w:w="829" w:type="pct"/>
            <w:vAlign w:val="center"/>
          </w:tcPr>
          <w:p w14:paraId="2B34468F">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14:paraId="7B83C424">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744" w:type="pct"/>
            <w:vAlign w:val="center"/>
          </w:tcPr>
          <w:p w14:paraId="41F68B1A">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14:paraId="4C44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25" w:type="pct"/>
            <w:vAlign w:val="center"/>
          </w:tcPr>
          <w:p w14:paraId="0FE131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w:t>
            </w:r>
          </w:p>
        </w:tc>
        <w:tc>
          <w:tcPr>
            <w:tcW w:w="829" w:type="pct"/>
            <w:vAlign w:val="center"/>
          </w:tcPr>
          <w:p w14:paraId="266ECFE8">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744" w:type="pct"/>
            <w:vAlign w:val="center"/>
          </w:tcPr>
          <w:p w14:paraId="5D3E89D7">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p w14:paraId="1BE72B7B">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排废土夹石料</w:t>
            </w:r>
            <w:r>
              <w:rPr>
                <w:rFonts w:hint="eastAsia" w:ascii="仿宋_GB2312" w:hAnsi="仿宋_GB2312" w:eastAsia="仿宋_GB2312" w:cs="仿宋_GB2312"/>
                <w:color w:val="auto"/>
                <w:kern w:val="0"/>
                <w:sz w:val="32"/>
                <w:szCs w:val="32"/>
                <w:lang w:val="en-US" w:eastAsia="zh-CN"/>
              </w:rPr>
              <w:t>控制价格为8元/吨（不包含铲装费用）。</w:t>
            </w:r>
          </w:p>
          <w:p w14:paraId="139A7B9A">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28"/>
                <w:szCs w:val="28"/>
                <w:lang w:val="en-US" w:eastAsia="zh-CN"/>
              </w:rPr>
              <w:t>本次土夹石料竞价以价高者得为原则，竞价为在控制价的基础上单次上浮0.1元/吨或0.1的整倍数为最终报价，进行一次竞价，如遇最高竞价相同，再由相同竞价人进行二次竞价，以此类推，直到确定一家最高竞价。最终竞价为现场交货价，低于控制单价竞价的为无效竞价，以报价加价幅度最大的单位视同为成交人，最终成交价含3%税费。</w:t>
            </w:r>
          </w:p>
        </w:tc>
      </w:tr>
      <w:tr w14:paraId="0786E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25" w:type="pct"/>
            <w:vAlign w:val="center"/>
          </w:tcPr>
          <w:p w14:paraId="108B657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w:t>
            </w:r>
          </w:p>
        </w:tc>
        <w:tc>
          <w:tcPr>
            <w:tcW w:w="829" w:type="pct"/>
            <w:vAlign w:val="center"/>
          </w:tcPr>
          <w:p w14:paraId="68426357">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744" w:type="pct"/>
            <w:vAlign w:val="center"/>
          </w:tcPr>
          <w:p w14:paraId="3698A46D">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贰 </w:t>
            </w:r>
            <w:r>
              <w:rPr>
                <w:rFonts w:hint="eastAsia" w:ascii="仿宋_GB2312" w:hAnsi="仿宋_GB2312" w:eastAsia="仿宋_GB2312" w:cs="仿宋_GB2312"/>
                <w:color w:val="auto"/>
                <w:sz w:val="32"/>
                <w:szCs w:val="32"/>
              </w:rPr>
              <w:t>份。</w:t>
            </w:r>
          </w:p>
        </w:tc>
      </w:tr>
      <w:tr w14:paraId="3CA87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25" w:type="pct"/>
            <w:vAlign w:val="center"/>
          </w:tcPr>
          <w:p w14:paraId="4C9D3BB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w:t>
            </w:r>
          </w:p>
        </w:tc>
        <w:tc>
          <w:tcPr>
            <w:tcW w:w="829" w:type="pct"/>
            <w:vAlign w:val="center"/>
          </w:tcPr>
          <w:p w14:paraId="248A1850">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744" w:type="pct"/>
            <w:vAlign w:val="center"/>
          </w:tcPr>
          <w:p w14:paraId="407CBCCE">
            <w:pPr>
              <w:pStyle w:val="5"/>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14:paraId="0377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vAlign w:val="center"/>
          </w:tcPr>
          <w:p w14:paraId="6F2E128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w:t>
            </w:r>
          </w:p>
        </w:tc>
        <w:tc>
          <w:tcPr>
            <w:tcW w:w="829" w:type="pct"/>
            <w:vAlign w:val="center"/>
          </w:tcPr>
          <w:p w14:paraId="6DDA4A22">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744" w:type="pct"/>
            <w:vAlign w:val="center"/>
          </w:tcPr>
          <w:p w14:paraId="16A595E0">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董工</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15826954238</w:t>
            </w:r>
          </w:p>
        </w:tc>
      </w:tr>
      <w:tr w14:paraId="00F6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425" w:type="pct"/>
            <w:vAlign w:val="center"/>
          </w:tcPr>
          <w:p w14:paraId="040D1B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w:t>
            </w:r>
          </w:p>
        </w:tc>
        <w:tc>
          <w:tcPr>
            <w:tcW w:w="829" w:type="pct"/>
            <w:vAlign w:val="center"/>
          </w:tcPr>
          <w:p w14:paraId="5DFF06CE">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744" w:type="pct"/>
            <w:vAlign w:val="center"/>
          </w:tcPr>
          <w:p w14:paraId="2BFAA36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150BE40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10月15日上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整。</w:t>
            </w:r>
          </w:p>
        </w:tc>
      </w:tr>
      <w:tr w14:paraId="22C1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425" w:type="pct"/>
            <w:vAlign w:val="center"/>
          </w:tcPr>
          <w:p w14:paraId="25033F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29" w:type="pct"/>
            <w:vAlign w:val="center"/>
          </w:tcPr>
          <w:p w14:paraId="010EB2E9">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744" w:type="pct"/>
            <w:vAlign w:val="center"/>
          </w:tcPr>
          <w:p w14:paraId="186EB70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739CDDDE">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时间：2024年</w:t>
            </w:r>
            <w:r>
              <w:rPr>
                <w:rFonts w:hint="eastAsia" w:ascii="仿宋_GB2312" w:hAnsi="仿宋_GB2312" w:eastAsia="仿宋_GB2312" w:cs="仿宋_GB2312"/>
                <w:color w:val="auto"/>
                <w:sz w:val="32"/>
                <w:szCs w:val="32"/>
                <w:lang w:val="en-US" w:eastAsia="zh-CN"/>
              </w:rPr>
              <w:t>10月15日</w:t>
            </w:r>
            <w:r>
              <w:rPr>
                <w:rFonts w:hint="eastAsia" w:ascii="仿宋_GB2312" w:hAnsi="仿宋_GB2312" w:eastAsia="仿宋_GB2312" w:cs="仿宋_GB2312"/>
                <w:color w:val="auto"/>
                <w:sz w:val="32"/>
                <w:szCs w:val="32"/>
              </w:rPr>
              <w:t>上午10：00整。</w:t>
            </w:r>
          </w:p>
        </w:tc>
      </w:tr>
      <w:tr w14:paraId="42F8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2" w:hRule="atLeast"/>
        </w:trPr>
        <w:tc>
          <w:tcPr>
            <w:tcW w:w="425" w:type="pct"/>
            <w:vAlign w:val="center"/>
          </w:tcPr>
          <w:p w14:paraId="1BCB4A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29" w:type="pct"/>
            <w:vAlign w:val="center"/>
          </w:tcPr>
          <w:p w14:paraId="3087DE1D">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竞价保</w:t>
            </w:r>
          </w:p>
          <w:p w14:paraId="04AAFD00">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证金</w:t>
            </w:r>
          </w:p>
        </w:tc>
        <w:tc>
          <w:tcPr>
            <w:tcW w:w="3744" w:type="pct"/>
            <w:vAlign w:val="center"/>
          </w:tcPr>
          <w:p w14:paraId="0A719EFD">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投标保证金金额</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人民币</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u w:val="none"/>
                <w:lang w:val="en-US" w:eastAsia="zh-CN"/>
              </w:rPr>
              <w:t>万</w:t>
            </w:r>
            <w:r>
              <w:rPr>
                <w:rFonts w:hint="eastAsia" w:ascii="仿宋_GB2312" w:hAnsi="仿宋_GB2312" w:eastAsia="仿宋_GB2312" w:cs="仿宋_GB2312"/>
                <w:color w:val="auto"/>
                <w:sz w:val="32"/>
                <w:szCs w:val="32"/>
                <w:u w:val="none"/>
              </w:rPr>
              <w:t>整</w:t>
            </w:r>
            <w:r>
              <w:rPr>
                <w:rFonts w:hint="eastAsia" w:ascii="仿宋_GB2312" w:hAnsi="仿宋_GB2312" w:eastAsia="仿宋_GB2312" w:cs="仿宋_GB2312"/>
                <w:color w:val="auto"/>
                <w:sz w:val="32"/>
                <w:szCs w:val="32"/>
                <w:u w:val="none"/>
                <w:lang w:eastAsia="zh-CN"/>
              </w:rPr>
              <w:t>。</w:t>
            </w:r>
          </w:p>
          <w:p w14:paraId="5FB88330">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只接受竞买人从基本账户递交的投标保证金，不接受现金或以分公司、办事处或其他机构及私人名义递交的支票、汇票和电汇，退还时按来款渠道自动退回。</w:t>
            </w:r>
          </w:p>
          <w:p w14:paraId="646E4C0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投标保证金到账截止时间为：开标截止日前一天下午16时止（以到账时间为准）</w:t>
            </w:r>
          </w:p>
          <w:p w14:paraId="6E896A9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账户名称：黄石市城发矿业有限公司</w:t>
            </w:r>
          </w:p>
          <w:p w14:paraId="7B54A71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开户银行：中信银行股份有限公司黄石分行</w:t>
            </w:r>
          </w:p>
          <w:p w14:paraId="770BF5A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银行账号：8111501011101109999</w:t>
            </w:r>
          </w:p>
        </w:tc>
      </w:tr>
      <w:tr w14:paraId="7175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25" w:type="pct"/>
            <w:vAlign w:val="center"/>
          </w:tcPr>
          <w:p w14:paraId="6CE676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w:t>
            </w:r>
          </w:p>
        </w:tc>
        <w:tc>
          <w:tcPr>
            <w:tcW w:w="829" w:type="pct"/>
            <w:vAlign w:val="center"/>
          </w:tcPr>
          <w:p w14:paraId="10F646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744" w:type="pct"/>
            <w:vAlign w:val="bottom"/>
          </w:tcPr>
          <w:p w14:paraId="4C6B21D3">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14:paraId="5A5B7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25" w:type="pct"/>
            <w:vAlign w:val="center"/>
          </w:tcPr>
          <w:p w14:paraId="2305BF5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w:t>
            </w:r>
          </w:p>
        </w:tc>
        <w:tc>
          <w:tcPr>
            <w:tcW w:w="829" w:type="pct"/>
            <w:vAlign w:val="center"/>
          </w:tcPr>
          <w:p w14:paraId="49D3DF1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744" w:type="pct"/>
            <w:vAlign w:val="center"/>
          </w:tcPr>
          <w:p w14:paraId="67A6B938">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4"/>
      <w:bookmarkEnd w:id="5"/>
      <w:bookmarkEnd w:id="6"/>
      <w:bookmarkEnd w:id="7"/>
    </w:tbl>
    <w:p w14:paraId="7B90DAE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14:paraId="6AEBE0B8">
      <w:pPr>
        <w:pStyle w:val="18"/>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14:paraId="3AA07491">
      <w:pPr>
        <w:pStyle w:val="18"/>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14:paraId="358EF9C1">
      <w:pPr>
        <w:pStyle w:val="18"/>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14:paraId="4647CE53">
      <w:pPr>
        <w:pStyle w:val="18"/>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14:paraId="0EDBD96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14:paraId="12D9CD5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14:paraId="7AEB422F">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14:paraId="60FDDE18">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14:paraId="46BE958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14:paraId="4452F63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14:paraId="690CB5FE">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日以书面形式（包括书面文字、传真）向代理机构提出，代理机构和竞卖人将以答疑文件的形式予以解答，逾期不作答。</w:t>
      </w:r>
    </w:p>
    <w:p w14:paraId="268FDCC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14:paraId="0D570C7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14:paraId="786C892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14:paraId="4C31F3A1">
      <w:pPr>
        <w:pStyle w:val="19"/>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14:paraId="303E42B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14:paraId="7322F05A">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14:paraId="52A4694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14:paraId="20ABE4D9">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14:paraId="600DEB7B">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14:paraId="3E46E7D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14:paraId="26A461EE">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14:paraId="36A44D6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14:paraId="5B17D0C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14:paraId="48CEDC3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14:paraId="29C2B276">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14:paraId="69B3A7BA">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14:paraId="253948AB">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日内以书面形式（包括书面文字、传真）向竞卖人提出，竞卖人将以书面形式予以解答，并将送达所有获得竞价文件的竞买人，该答复作为竞价文件的组成部分，具有约束作用。</w:t>
      </w:r>
    </w:p>
    <w:p w14:paraId="55BC947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14:paraId="6670342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14:paraId="623E8B46">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14:paraId="6AAEC1BE">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14:paraId="5177AB8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14:paraId="1CD22C71">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14:paraId="34ABBC08">
      <w:pPr>
        <w:pStyle w:val="18"/>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14:paraId="46372426">
      <w:pPr>
        <w:pStyle w:val="18"/>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14:paraId="442AB5F3">
      <w:pPr>
        <w:keepNext w:val="0"/>
        <w:keepLines w:val="0"/>
        <w:pageBreakBefore w:val="0"/>
        <w:kinsoku/>
        <w:wordWrap/>
        <w:topLinePunct w:val="0"/>
        <w:bidi w:val="0"/>
        <w:spacing w:line="440" w:lineRule="exact"/>
        <w:ind w:firstLine="627" w:firstLineChars="196"/>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14:paraId="5D0EBA1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14:paraId="6E7C2F9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14:paraId="3FACB52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14:paraId="35188B0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14:paraId="16AF173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14:paraId="1EB76E1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14:paraId="469E84F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14:paraId="3416A2F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14:paraId="50A235B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14:paraId="1A528F8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14:paraId="1481D33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14:paraId="58C9AF4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14:paraId="20538D5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14:paraId="5136512B">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14:paraId="0E54122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14:paraId="5C6534D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14:paraId="7671E7FB">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14:paraId="6220120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14.1本项目的竞价采用本须知前附表所规定的方式。</w:t>
      </w:r>
    </w:p>
    <w:p w14:paraId="60C2C2DA">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14.2本次土夹石料</w:t>
      </w:r>
      <w:r>
        <w:rPr>
          <w:rFonts w:hint="eastAsia" w:ascii="仿宋_GB2312" w:hAnsi="仿宋_GB2312" w:eastAsia="仿宋_GB2312" w:cs="仿宋_GB2312"/>
          <w:color w:val="auto"/>
          <w:sz w:val="32"/>
          <w:szCs w:val="32"/>
          <w:lang w:val="en-US" w:eastAsia="zh-CN"/>
        </w:rPr>
        <w:t>控制价格为8元/吨，</w:t>
      </w:r>
      <w:r>
        <w:rPr>
          <w:rFonts w:hint="eastAsia" w:ascii="仿宋_GB2312" w:hAnsi="仿宋_GB2312" w:eastAsia="仿宋_GB2312" w:cs="仿宋_GB2312"/>
          <w:color w:val="auto"/>
          <w:sz w:val="32"/>
          <w:szCs w:val="32"/>
        </w:rPr>
        <w:t>竞价以价高者得为原则，</w:t>
      </w:r>
      <w:r>
        <w:rPr>
          <w:rFonts w:hint="eastAsia" w:ascii="仿宋_GB2312" w:hAnsi="仿宋_GB2312" w:eastAsia="仿宋_GB2312" w:cs="仿宋_GB2312"/>
          <w:color w:val="auto"/>
          <w:sz w:val="32"/>
          <w:szCs w:val="32"/>
          <w:lang w:eastAsia="zh-CN"/>
        </w:rPr>
        <w:t>竞价为在控制价</w:t>
      </w:r>
      <w:r>
        <w:rPr>
          <w:rFonts w:hint="eastAsia" w:ascii="仿宋_GB2312" w:hAnsi="仿宋_GB2312" w:eastAsia="仿宋_GB2312" w:cs="仿宋_GB2312"/>
          <w:color w:val="auto"/>
          <w:sz w:val="32"/>
          <w:szCs w:val="32"/>
        </w:rPr>
        <w:t>的基础上单次上浮0.1元/吨或0.1的整倍数为最终报价，进行一次竞价，如遇最高竞价相同，再由相同竞价人进行二次竞价，以此类推，直到确定一家最高竞价。最终竞价为现场交货价，低于控制单价竞价的为无效竞价，以报价加价幅度最大的单位视同为成交人，最终成交价含3%税费。</w:t>
      </w:r>
    </w:p>
    <w:p w14:paraId="75C75BF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14:paraId="73AD4DBD">
      <w:pPr>
        <w:pStyle w:val="5"/>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14:paraId="2ECAD641">
      <w:pPr>
        <w:pStyle w:val="5"/>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14:paraId="5E5BD44B">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1、竞价保证金是响应性文件的一个组成部分，由竞买人以人民币形式提交招标采购单位。</w:t>
      </w:r>
    </w:p>
    <w:p w14:paraId="524D0766">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14:paraId="327D662B">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w:t>
      </w:r>
    </w:p>
    <w:p w14:paraId="143757B1">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(1)未成交方的竞价保证金，将在《成交通知书》发出后五个工作日内无息退还。</w:t>
      </w:r>
    </w:p>
    <w:p w14:paraId="6D36CB07">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(2)成交方的竞价保证金在合同签订后</w:t>
      </w:r>
      <w:r>
        <w:rPr>
          <w:rFonts w:hint="eastAsia" w:ascii="仿宋_GB2312" w:hAnsi="仿宋_GB2312" w:eastAsia="仿宋_GB2312" w:cs="仿宋_GB2312"/>
          <w:color w:val="auto"/>
          <w:sz w:val="32"/>
          <w:szCs w:val="32"/>
          <w:lang w:val="en-US" w:eastAsia="zh-CN"/>
        </w:rPr>
        <w:t>将直接转为履约保证金。</w:t>
      </w:r>
    </w:p>
    <w:p w14:paraId="1088104C">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4、出现以下情况，竞买人的竞价保证金将不予退还：</w:t>
      </w:r>
    </w:p>
    <w:p w14:paraId="47DD6AC9">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(1)竞买人已递交响应性文件，但在竞价响应有效期内撤回竞价响应的；</w:t>
      </w:r>
    </w:p>
    <w:p w14:paraId="1C70EB3F">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(2)响应性文件中提供虚假文件的；</w:t>
      </w:r>
    </w:p>
    <w:p w14:paraId="30A8C645">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(3)竞买人在竞价期间用不正当手段试图影响、改变竞价结果的；</w:t>
      </w:r>
    </w:p>
    <w:p w14:paraId="40C81A12">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(4)成交方不按其竞价响应承诺签订合同或放弃成交的；</w:t>
      </w:r>
    </w:p>
    <w:p w14:paraId="4845DE9A">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(5)与竞卖人、其他竞买人或招标单位工作人员恶意串通的。</w:t>
      </w:r>
    </w:p>
    <w:p w14:paraId="2349C70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14:paraId="0A853C8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val="0"/>
          <w:bCs w:val="0"/>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14:paraId="1156455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14:paraId="3B6598D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14:paraId="464E15D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16.1竞价响应文件数按一正贰副提交。竞价响应文件正本和副本如有不一致之处，以正本为准。</w:t>
      </w:r>
    </w:p>
    <w:p w14:paraId="700A039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14:paraId="7934F01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14:paraId="0157608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14:paraId="03E1C33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14:paraId="2B66F2D6">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14:paraId="132F4C97">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14:paraId="10996ABF">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14:paraId="48D09A2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17.1竞买人应将竞价响应</w:t>
      </w:r>
      <w:bookmarkStart w:id="18" w:name="_GoBack"/>
      <w:bookmarkEnd w:id="18"/>
      <w:r>
        <w:rPr>
          <w:rFonts w:hint="eastAsia" w:ascii="仿宋_GB2312" w:hAnsi="仿宋_GB2312" w:eastAsia="仿宋_GB2312" w:cs="仿宋_GB2312"/>
          <w:color w:val="auto"/>
          <w:sz w:val="32"/>
          <w:szCs w:val="32"/>
        </w:rPr>
        <w:t>文件的正本和副本分别密封在两个外层包封中，并在外包封上注明：（1）竞卖人名称，（2）项目名称，（3）项目编号，（4）</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时竞价，此时间前不得开封。</w:t>
      </w:r>
    </w:p>
    <w:p w14:paraId="14353D70">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14:paraId="469CD39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14:paraId="09DDB23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14:paraId="18A2861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19、竞价响应文件提交截止时间</w:t>
      </w:r>
    </w:p>
    <w:p w14:paraId="4BF934C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14:paraId="698271B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14:paraId="2B551F6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14:paraId="183F290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14:paraId="118D349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14:paraId="54EB07FA">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14:paraId="37735C9C">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14:paraId="5FEEB045">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14:paraId="3E18857A">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14:paraId="5BD5240B">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14:paraId="158A9DF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黄石市城发矿业有限公司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14:paraId="656B6A4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14:paraId="55DF035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14:paraId="31AFE4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14:paraId="7DBF6A9F">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14:paraId="117D48B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14:paraId="3955911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14:paraId="62E687A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14:paraId="4D9A143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在竞价响应文件的审查、澄清、评价和比较以及合同签订过程中，竞买人对竞卖人或代理机构和竞价小组成员施加影响的任何行为，都将导致取消其成交资格。</w:t>
      </w:r>
    </w:p>
    <w:p w14:paraId="176D0FC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14:paraId="23670BF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14:paraId="5F9BC5B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14:paraId="452BCE4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24.3、竞卖人应当按竞争性竞价文件的规定，在递交竞价响应文件截止时间的同一时间组织公开竞价。报名的所有竞买人代表、竞卖人和有关方面代表参加。参加竞价的代表应签名报到以证明其出席。</w:t>
      </w:r>
    </w:p>
    <w:p w14:paraId="01E470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8" w:name="_Toc299697299"/>
      <w:bookmarkStart w:id="9" w:name="_Toc297789726"/>
      <w:bookmarkStart w:id="10" w:name="_Toc520356169"/>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14:paraId="12430340">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14:paraId="4FEAE2A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14:paraId="5146E72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代理机构对竞价过程和重要竞价内容进行记录，竞价双方在记录上签字确认。</w:t>
      </w:r>
    </w:p>
    <w:p w14:paraId="5FE5BA9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14:paraId="4F68C51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14:paraId="447E529A">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14:paraId="331B996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第二轮竞价现场填写并递交，由竞价小组现场宣读。代理机构对竞价过程和竞价内容进行记录，竞价双方在记录上签字确认。竞价小组按竞价文件设定的方法和标准确定成交候选人。</w:t>
      </w:r>
    </w:p>
    <w:p w14:paraId="107BF92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第二轮竞价竞价小组仍未能确定成交候选人的，可进行第三轮竞价。以此类推直至确定最报高竞价为止。</w:t>
      </w:r>
    </w:p>
    <w:p w14:paraId="3FCA954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14:paraId="05CF0A6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14:paraId="111F0E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14:paraId="552314C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竞价过程由代理机构指定专人负责记录，并存档备查。</w:t>
      </w:r>
    </w:p>
    <w:p w14:paraId="69A0072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14:paraId="13AA3F13">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14:paraId="1481BD62">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14:paraId="1437C44B">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14:paraId="05BD594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14:paraId="280A63F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14:paraId="2CE56EC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14:paraId="3626DE4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14:paraId="6349713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14:paraId="7C05008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8"/>
    <w:bookmarkEnd w:id="9"/>
    <w:bookmarkEnd w:id="10"/>
    <w:p w14:paraId="47FFA98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11" w:name="_Ref467306377"/>
      <w:bookmarkStart w:id="12" w:name="_Ref467306978"/>
      <w:bookmarkStart w:id="13" w:name="_Toc299697304"/>
      <w:bookmarkStart w:id="14" w:name="_Toc520356175"/>
      <w:bookmarkStart w:id="15" w:name="_Ref467307062"/>
      <w:bookmarkStart w:id="16" w:name="_Toc297789732"/>
      <w:bookmarkStart w:id="17" w:name="_Ref467307204"/>
      <w:r>
        <w:rPr>
          <w:rFonts w:hint="eastAsia" w:ascii="仿宋_GB2312" w:hAnsi="仿宋_GB2312" w:eastAsia="仿宋_GB2312" w:cs="仿宋_GB2312"/>
          <w:b/>
          <w:color w:val="auto"/>
          <w:sz w:val="32"/>
          <w:szCs w:val="32"/>
        </w:rPr>
        <w:t>29、签订合同</w:t>
      </w:r>
      <w:bookmarkEnd w:id="11"/>
      <w:bookmarkEnd w:id="12"/>
      <w:bookmarkEnd w:id="13"/>
      <w:bookmarkEnd w:id="14"/>
      <w:bookmarkEnd w:id="15"/>
      <w:bookmarkEnd w:id="16"/>
      <w:bookmarkEnd w:id="17"/>
    </w:p>
    <w:p w14:paraId="29E848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14:paraId="7B7E4A8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14:paraId="68D9BAB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14:paraId="5B9CB32D">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7FF18732">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31408B0">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14:paraId="561535C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22DF3AD">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lang w:val="en-US" w:eastAsia="zh-CN"/>
        </w:rPr>
        <w:t>土夹石料销售合同</w:t>
      </w:r>
      <w:r>
        <w:rPr>
          <w:rFonts w:hint="eastAsia" w:ascii="仿宋_GB2312" w:hAnsi="仿宋_GB2312" w:eastAsia="仿宋_GB2312" w:cs="仿宋_GB2312"/>
          <w:b/>
          <w:bCs w:val="0"/>
          <w:color w:val="auto"/>
          <w:spacing w:val="30"/>
          <w:sz w:val="32"/>
          <w:szCs w:val="32"/>
        </w:rPr>
        <w:t>模板</w:t>
      </w:r>
    </w:p>
    <w:p w14:paraId="10F219E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A6F67F4">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 xml:space="preserve">       （简称甲方）</w:t>
      </w:r>
    </w:p>
    <w:p w14:paraId="14D5AD87">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14:paraId="1769B2B3">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14:paraId="65267DD2">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14:paraId="0F469F66">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14:paraId="1D20CF9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》及相关法律法规的规定，根据甲方组织的竞价会结果，乙方为本项目的竞买人，双方本着公正、公平、诚信的原则，在平等互利的基础上，甲乙双方就</w:t>
      </w:r>
      <w:r>
        <w:rPr>
          <w:rFonts w:hint="eastAsia" w:ascii="仿宋_GB2312" w:hAnsi="仿宋_GB2312" w:eastAsia="仿宋_GB2312" w:cs="仿宋_GB2312"/>
          <w:color w:val="auto"/>
          <w:sz w:val="32"/>
          <w:szCs w:val="32"/>
          <w:lang w:eastAsia="zh-CN"/>
        </w:rPr>
        <w:t>黄石市城发矿业有限公司排废土夹石料</w:t>
      </w:r>
      <w:r>
        <w:rPr>
          <w:rFonts w:hint="eastAsia" w:ascii="仿宋_GB2312" w:hAnsi="仿宋_GB2312" w:eastAsia="仿宋_GB2312" w:cs="仿宋_GB2312"/>
          <w:color w:val="auto"/>
          <w:sz w:val="32"/>
          <w:szCs w:val="32"/>
        </w:rPr>
        <w:t>销售有关事宜，特签订本合同。</w:t>
      </w:r>
    </w:p>
    <w:p w14:paraId="6A67A8BE">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供货产品种类、交货地点、价格、数量：</w:t>
      </w:r>
    </w:p>
    <w:p w14:paraId="76590EB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甲方供应的为</w:t>
      </w:r>
      <w:r>
        <w:rPr>
          <w:rFonts w:hint="eastAsia" w:ascii="仿宋_GB2312" w:hAnsi="仿宋_GB2312" w:eastAsia="仿宋_GB2312" w:cs="仿宋_GB2312"/>
          <w:color w:val="auto"/>
          <w:sz w:val="32"/>
          <w:szCs w:val="32"/>
          <w:lang w:eastAsia="zh-CN"/>
        </w:rPr>
        <w:t>黄石市城发矿业有限公司排废土夹石料</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w:t>
      </w:r>
    </w:p>
    <w:tbl>
      <w:tblPr>
        <w:tblStyle w:val="12"/>
        <w:tblpPr w:leftFromText="180" w:rightFromText="180" w:vertAnchor="text" w:horzAnchor="page" w:tblpX="1407" w:tblpY="383"/>
        <w:tblOverlap w:val="never"/>
        <w:tblW w:w="9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4"/>
        <w:gridCol w:w="7915"/>
      </w:tblGrid>
      <w:tr w14:paraId="6B04D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64" w:type="dxa"/>
            <w:vAlign w:val="center"/>
          </w:tcPr>
          <w:p w14:paraId="134C88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土夹石料</w:t>
            </w:r>
          </w:p>
        </w:tc>
        <w:tc>
          <w:tcPr>
            <w:tcW w:w="7915" w:type="dxa"/>
            <w:vAlign w:val="center"/>
          </w:tcPr>
          <w:p w14:paraId="1AF5D2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lang w:val="en-US" w:eastAsia="zh-CN"/>
              </w:rPr>
              <w:t>土含量50%、石含量50%</w:t>
            </w:r>
          </w:p>
        </w:tc>
      </w:tr>
      <w:tr w14:paraId="43F5C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64" w:type="dxa"/>
            <w:shd w:val="clear" w:color="auto" w:fill="auto"/>
            <w:vAlign w:val="center"/>
          </w:tcPr>
          <w:p w14:paraId="132BAC5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控制价格</w:t>
            </w:r>
          </w:p>
        </w:tc>
        <w:tc>
          <w:tcPr>
            <w:tcW w:w="7915" w:type="dxa"/>
            <w:shd w:val="clear" w:color="auto" w:fill="auto"/>
            <w:vAlign w:val="center"/>
          </w:tcPr>
          <w:p w14:paraId="6EBD05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8元/吨</w:t>
            </w:r>
          </w:p>
        </w:tc>
      </w:tr>
      <w:tr w14:paraId="29AAE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479" w:type="dxa"/>
            <w:gridSpan w:val="2"/>
            <w:vAlign w:val="center"/>
          </w:tcPr>
          <w:p w14:paraId="1B99D9D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val="en-US" w:eastAsia="zh-CN"/>
              </w:rPr>
              <w:t>加价幅度为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元/吨</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b w:val="0"/>
                <w:bCs/>
                <w:color w:val="auto"/>
                <w:sz w:val="32"/>
                <w:szCs w:val="32"/>
                <w:lang w:val="en-US" w:eastAsia="zh-CN"/>
              </w:rPr>
              <w:t>上浮0.1元/吨或0.1的整倍数</w:t>
            </w:r>
            <w:r>
              <w:rPr>
                <w:rFonts w:hint="eastAsia" w:ascii="仿宋_GB2312" w:hAnsi="仿宋_GB2312" w:eastAsia="仿宋_GB2312" w:cs="仿宋_GB2312"/>
                <w:color w:val="auto"/>
                <w:sz w:val="32"/>
                <w:szCs w:val="32"/>
                <w:u w:val="none"/>
                <w:lang w:val="en-US" w:eastAsia="zh-CN"/>
              </w:rPr>
              <w:t>）</w:t>
            </w:r>
          </w:p>
        </w:tc>
      </w:tr>
      <w:tr w14:paraId="614C5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564" w:type="dxa"/>
            <w:shd w:val="clear" w:color="auto" w:fill="auto"/>
            <w:vAlign w:val="center"/>
          </w:tcPr>
          <w:p w14:paraId="6E9C9E4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成交价格</w:t>
            </w:r>
          </w:p>
        </w:tc>
        <w:tc>
          <w:tcPr>
            <w:tcW w:w="7915" w:type="dxa"/>
            <w:shd w:val="clear" w:color="auto" w:fill="auto"/>
            <w:vAlign w:val="center"/>
          </w:tcPr>
          <w:p w14:paraId="00EB88C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元/吨</w:t>
            </w:r>
          </w:p>
        </w:tc>
      </w:tr>
      <w:tr w14:paraId="57449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564" w:type="dxa"/>
            <w:shd w:val="clear" w:color="auto" w:fill="auto"/>
            <w:vAlign w:val="center"/>
          </w:tcPr>
          <w:p w14:paraId="4A9D4E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合同总价</w:t>
            </w:r>
          </w:p>
        </w:tc>
        <w:tc>
          <w:tcPr>
            <w:tcW w:w="7915" w:type="dxa"/>
            <w:shd w:val="clear" w:color="auto" w:fill="auto"/>
            <w:vAlign w:val="center"/>
          </w:tcPr>
          <w:p w14:paraId="26C804F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p>
        </w:tc>
      </w:tr>
    </w:tbl>
    <w:p w14:paraId="689016F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履行合同前，须向甲方提交履约保证金</w:t>
      </w:r>
      <w:r>
        <w:rPr>
          <w:rFonts w:hint="eastAsia" w:ascii="仿宋_GB2312" w:hAnsi="仿宋_GB2312" w:eastAsia="仿宋_GB2312" w:cs="仿宋_GB2312"/>
          <w:b w:val="0"/>
          <w:bCs/>
          <w:color w:val="auto"/>
          <w:sz w:val="32"/>
          <w:szCs w:val="32"/>
          <w:lang w:val="en-US" w:eastAsia="zh-CN"/>
        </w:rPr>
        <w:t>人民币壹拾</w:t>
      </w:r>
      <w:r>
        <w:rPr>
          <w:rFonts w:hint="eastAsia" w:ascii="仿宋_GB2312" w:hAnsi="仿宋_GB2312" w:eastAsia="仿宋_GB2312" w:cs="仿宋_GB2312"/>
          <w:b w:val="0"/>
          <w:bCs/>
          <w:color w:val="auto"/>
          <w:sz w:val="32"/>
          <w:szCs w:val="32"/>
        </w:rPr>
        <w:t>万元整。履约保证金到账，合同方能生效。合同履约完毕，乙</w:t>
      </w:r>
      <w:r>
        <w:rPr>
          <w:rFonts w:hint="eastAsia" w:ascii="仿宋_GB2312" w:hAnsi="仿宋_GB2312" w:eastAsia="仿宋_GB2312" w:cs="仿宋_GB2312"/>
          <w:color w:val="auto"/>
          <w:sz w:val="32"/>
          <w:szCs w:val="32"/>
        </w:rPr>
        <w:t xml:space="preserve">方无违约行为，甲方一周内无息退还履约保证金。  </w:t>
      </w:r>
    </w:p>
    <w:p w14:paraId="405077E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本项目采取先款后货的方式销售。</w:t>
      </w:r>
      <w:r>
        <w:rPr>
          <w:rFonts w:hint="eastAsia" w:ascii="仿宋_GB2312" w:hAnsi="仿宋_GB2312" w:eastAsia="仿宋_GB2312" w:cs="仿宋_GB2312"/>
          <w:color w:val="auto"/>
          <w:sz w:val="32"/>
          <w:szCs w:val="32"/>
          <w:lang w:val="en-US" w:eastAsia="zh-CN"/>
        </w:rPr>
        <w:t>合同签订三日内一次性付清全款，若未履约，甲方有权终止本次竞价，并没收履约保证金。</w:t>
      </w:r>
    </w:p>
    <w:p w14:paraId="323BBDC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乙方最后一天装车因满足满车的需要，计量超出5万吨部分按竞价单价执行（超出部分不得超过总量的20%）。</w:t>
      </w:r>
      <w:r>
        <w:rPr>
          <w:rFonts w:hint="eastAsia" w:ascii="仿宋_GB2312" w:hAnsi="仿宋_GB2312" w:eastAsia="仿宋_GB2312" w:cs="仿宋_GB2312"/>
          <w:b w:val="0"/>
          <w:bCs/>
          <w:color w:val="auto"/>
          <w:sz w:val="32"/>
          <w:szCs w:val="32"/>
        </w:rPr>
        <w:t>合同履行期间，成交的竞卖价格不随市场</w:t>
      </w:r>
      <w:r>
        <w:rPr>
          <w:rFonts w:hint="eastAsia" w:ascii="仿宋_GB2312" w:hAnsi="仿宋_GB2312" w:eastAsia="仿宋_GB2312" w:cs="仿宋_GB2312"/>
          <w:b w:val="0"/>
          <w:bCs/>
          <w:color w:val="auto"/>
          <w:sz w:val="32"/>
          <w:szCs w:val="32"/>
          <w:lang w:val="en-US" w:eastAsia="zh-CN"/>
        </w:rPr>
        <w:t>石料</w:t>
      </w:r>
      <w:r>
        <w:rPr>
          <w:rFonts w:hint="eastAsia" w:ascii="仿宋_GB2312" w:hAnsi="仿宋_GB2312" w:eastAsia="仿宋_GB2312" w:cs="仿宋_GB2312"/>
          <w:b w:val="0"/>
          <w:bCs/>
          <w:color w:val="auto"/>
          <w:sz w:val="32"/>
          <w:szCs w:val="32"/>
        </w:rPr>
        <w:t>价格变化而调整。</w:t>
      </w:r>
    </w:p>
    <w:p w14:paraId="76DB7F08">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本次合同供货时间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30天（自然日）</w:t>
      </w:r>
    </w:p>
    <w:p w14:paraId="282B1F5F">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r>
        <w:rPr>
          <w:rFonts w:hint="eastAsia" w:ascii="仿宋_GB2312" w:hAnsi="仿宋_GB2312" w:eastAsia="仿宋_GB2312" w:cs="仿宋_GB2312"/>
          <w:color w:val="auto"/>
          <w:sz w:val="32"/>
          <w:szCs w:val="32"/>
        </w:rPr>
        <w:t xml:space="preserve"> </w:t>
      </w:r>
    </w:p>
    <w:p w14:paraId="4B3BC244">
      <w:pPr>
        <w:keepNext w:val="0"/>
        <w:keepLines w:val="0"/>
        <w:pageBreakBefore w:val="0"/>
        <w:tabs>
          <w:tab w:val="left" w:pos="1163"/>
        </w:tabs>
        <w:kinsoku/>
        <w:wordWrap/>
        <w:topLinePunct w:val="0"/>
        <w:bidi w:val="0"/>
        <w:spacing w:line="440" w:lineRule="exact"/>
        <w:ind w:firstLine="640" w:firstLineChars="20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rPr>
        <w:t>1.供货地点：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14:paraId="53141772">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14:paraId="15023794">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双方权利和义务：  </w:t>
      </w:r>
      <w:r>
        <w:rPr>
          <w:rFonts w:hint="eastAsia" w:ascii="仿宋_GB2312" w:hAnsi="仿宋_GB2312" w:eastAsia="仿宋_GB2312" w:cs="仿宋_GB2312"/>
          <w:color w:val="auto"/>
          <w:sz w:val="32"/>
          <w:szCs w:val="32"/>
        </w:rPr>
        <w:t xml:space="preserve">                                      </w:t>
      </w:r>
    </w:p>
    <w:p w14:paraId="2490A5C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1.甲方采取先款后货的方式销售。甲</w:t>
      </w:r>
      <w:r>
        <w:rPr>
          <w:rFonts w:hint="eastAsia" w:ascii="仿宋_GB2312" w:hAnsi="仿宋_GB2312" w:eastAsia="仿宋_GB2312" w:cs="仿宋_GB2312"/>
          <w:color w:val="auto"/>
          <w:sz w:val="32"/>
          <w:szCs w:val="32"/>
          <w:lang w:val="en-US" w:eastAsia="zh-CN"/>
        </w:rPr>
        <w:t>方</w:t>
      </w:r>
      <w:r>
        <w:rPr>
          <w:rFonts w:hint="eastAsia" w:ascii="仿宋_GB2312" w:hAnsi="仿宋_GB2312" w:eastAsia="仿宋_GB2312" w:cs="仿宋_GB2312"/>
          <w:color w:val="auto"/>
          <w:sz w:val="32"/>
          <w:szCs w:val="32"/>
        </w:rPr>
        <w:t>合同签订后3日内</w:t>
      </w:r>
      <w:r>
        <w:rPr>
          <w:rFonts w:hint="eastAsia" w:ascii="仿宋_GB2312" w:hAnsi="仿宋_GB2312" w:eastAsia="仿宋_GB2312" w:cs="仿宋_GB2312"/>
          <w:color w:val="auto"/>
          <w:sz w:val="32"/>
          <w:szCs w:val="32"/>
          <w:lang w:val="en-US" w:eastAsia="zh-CN"/>
        </w:rPr>
        <w:t>缴纳全部货款</w:t>
      </w:r>
      <w:r>
        <w:rPr>
          <w:rFonts w:hint="eastAsia" w:ascii="仿宋_GB2312" w:hAnsi="仿宋_GB2312" w:eastAsia="仿宋_GB2312" w:cs="仿宋_GB2312"/>
          <w:color w:val="auto"/>
          <w:sz w:val="32"/>
          <w:szCs w:val="32"/>
        </w:rPr>
        <w:t>。若</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逾期缴纳相关款项，甲方有权另行选择购货单位并终止合同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同时没收履约保证金。</w:t>
      </w:r>
    </w:p>
    <w:p w14:paraId="0FF87B6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2.在甲方指定的磅房称重，由甲方出具磅单，双方共同监磅并确认，作为结算依据，过磅后竞卖人不再对产品重量及质量负责。</w:t>
      </w:r>
    </w:p>
    <w:p w14:paraId="7603494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乙方在装车施工中，严格服从甲方管理。若乙方在施工过程中造成的任何安全事故(人员伤亡、机械及财产损毁)，均由乙方承担其一切经济损失和相应的法律责任。</w:t>
      </w:r>
    </w:p>
    <w:p w14:paraId="2A78B42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14:paraId="59059C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shd w:val="clear" w:color="auto" w:fill="FFFFFF" w:themeFill="background1"/>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shd w:val="clear" w:color="auto" w:fill="FFFFF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w:t>
      </w:r>
      <w:r>
        <w:rPr>
          <w:rFonts w:hint="eastAsia" w:ascii="仿宋_GB2312" w:hAnsi="仿宋_GB2312" w:eastAsia="仿宋_GB2312" w:cs="仿宋_GB2312"/>
          <w:color w:val="auto"/>
          <w:sz w:val="32"/>
          <w:szCs w:val="32"/>
          <w:shd w:val="clear" w:color="auto" w:fill="FFFFFF" w:themeFill="background1"/>
          <w:lang w:val="en-US" w:eastAsia="zh-CN"/>
        </w:rPr>
        <w:t>矿</w:t>
      </w:r>
      <w:r>
        <w:rPr>
          <w:rFonts w:hint="eastAsia" w:ascii="仿宋_GB2312" w:hAnsi="仿宋_GB2312" w:eastAsia="仿宋_GB2312" w:cs="仿宋_GB2312"/>
          <w:color w:val="auto"/>
          <w:sz w:val="32"/>
          <w:szCs w:val="32"/>
          <w:shd w:val="clear" w:color="auto" w:fill="FFFFFF" w:themeFill="background1"/>
        </w:rPr>
        <w:t>区</w:t>
      </w:r>
      <w:r>
        <w:rPr>
          <w:rFonts w:hint="eastAsia" w:ascii="仿宋_GB2312" w:hAnsi="仿宋_GB2312" w:eastAsia="仿宋_GB2312" w:cs="仿宋_GB2312"/>
          <w:color w:val="auto"/>
          <w:sz w:val="32"/>
          <w:szCs w:val="32"/>
          <w:shd w:val="clear" w:color="auto" w:fill="FFFFFF" w:themeFill="background1"/>
          <w:lang w:val="en-US" w:eastAsia="zh-CN"/>
        </w:rPr>
        <w:t>范围</w:t>
      </w:r>
      <w:r>
        <w:rPr>
          <w:rFonts w:hint="eastAsia" w:ascii="仿宋_GB2312" w:hAnsi="仿宋_GB2312" w:eastAsia="仿宋_GB2312" w:cs="仿宋_GB2312"/>
          <w:color w:val="auto"/>
          <w:sz w:val="32"/>
          <w:szCs w:val="32"/>
          <w:shd w:val="clear" w:color="auto" w:fill="FFFFFF" w:themeFill="background1"/>
        </w:rPr>
        <w:t>内的运输提供通行便利。</w:t>
      </w:r>
    </w:p>
    <w:p w14:paraId="27B418A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14:paraId="042EDE7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14:paraId="5FA6C0D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14:paraId="6A25C34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14:paraId="1283C3E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14:paraId="0FD8879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14:paraId="1AB95D7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14:paraId="61776F8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1.乙方在合同生效后未付货款或无故不按本合同约定履行义务超过5天的，甲方有权解除合同，交纳的履约保证金不予退还。</w:t>
      </w:r>
    </w:p>
    <w:p w14:paraId="5358DD6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2.本合同期内，即合同签订时间超过30天，届时乙方实际执行量不足5万吨的视同已执行5万吨，该合同执行完毕。</w:t>
      </w:r>
    </w:p>
    <w:p w14:paraId="0303B1A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.乙方装车后故意逃避计量的，按</w:t>
      </w:r>
      <w:r>
        <w:rPr>
          <w:rFonts w:hint="eastAsia" w:ascii="仿宋_GB2312" w:hAnsi="仿宋_GB2312" w:eastAsia="仿宋_GB2312" w:cs="仿宋_GB2312"/>
          <w:color w:val="auto"/>
          <w:sz w:val="32"/>
          <w:szCs w:val="32"/>
          <w:lang w:val="en-US" w:eastAsia="zh-CN"/>
        </w:rPr>
        <w:t>5万</w:t>
      </w:r>
      <w:r>
        <w:rPr>
          <w:rFonts w:hint="eastAsia" w:ascii="仿宋_GB2312" w:hAnsi="仿宋_GB2312" w:eastAsia="仿宋_GB2312" w:cs="仿宋_GB2312"/>
          <w:color w:val="auto"/>
          <w:sz w:val="32"/>
          <w:szCs w:val="32"/>
        </w:rPr>
        <w:t>元/车承担违约责任；甲方有权在乙方货款或履约保证金中直接扣减。</w:t>
      </w:r>
    </w:p>
    <w:p w14:paraId="5477B5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14:paraId="52BCCF5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14:paraId="7DA81F2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14:paraId="246673F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14:paraId="2995776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土夹石料</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给乙方，乙方按约定支付货款。双方无故终止本合同导致对方无法继续履行本合同的，由违约方向守约方支付应此造成的相应损失。</w:t>
      </w:r>
    </w:p>
    <w:p w14:paraId="55DE991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14:paraId="2DCA601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val="en-US" w:eastAsia="zh-CN"/>
        </w:rPr>
        <w:t>.</w:t>
      </w:r>
    </w:p>
    <w:p w14:paraId="722CA28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14:paraId="47EDEBD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14:paraId="4CD062A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r>
        <w:rPr>
          <w:rFonts w:hint="eastAsia" w:ascii="仿宋_GB2312" w:hAnsi="仿宋_GB2312" w:eastAsia="仿宋_GB2312" w:cs="仿宋_GB2312"/>
          <w:color w:val="auto"/>
          <w:sz w:val="32"/>
          <w:szCs w:val="32"/>
        </w:rPr>
        <w:tab/>
      </w:r>
    </w:p>
    <w:p w14:paraId="51614C0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A943C0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2D19BF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E396C6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此页为盖章页，以下无正文</w:t>
      </w:r>
      <w:r>
        <w:rPr>
          <w:rFonts w:hint="eastAsia" w:ascii="仿宋_GB2312" w:hAnsi="仿宋_GB2312" w:eastAsia="仿宋_GB2312" w:cs="仿宋_GB2312"/>
          <w:color w:val="auto"/>
          <w:sz w:val="32"/>
          <w:szCs w:val="32"/>
          <w:lang w:eastAsia="zh-CN"/>
        </w:rPr>
        <w:t>）</w:t>
      </w:r>
    </w:p>
    <w:p w14:paraId="277750A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17C641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8CFE9C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DE4500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41747F4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617E41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5A4B89C">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p>
    <w:p w14:paraId="7ECFAF21">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甲方(盖章)：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乙方（盖章）： </w:t>
      </w:r>
    </w:p>
    <w:p w14:paraId="66C290B2">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0777B99C">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负责人签字:                     负责人签字：</w:t>
      </w:r>
    </w:p>
    <w:p w14:paraId="474B52F0">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p>
    <w:p w14:paraId="1DC80B5B">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月  日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年  月  日             </w:t>
      </w:r>
    </w:p>
    <w:p w14:paraId="74C4C14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45406C6">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14:paraId="1ABC3C6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30D3604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委托单位（甲方）：   </w:t>
      </w:r>
      <w:r>
        <w:rPr>
          <w:rFonts w:hint="eastAsia" w:ascii="仿宋_GB2312" w:hAnsi="仿宋_GB2312" w:eastAsia="仿宋_GB2312" w:cs="仿宋_GB2312"/>
          <w:color w:val="auto"/>
          <w:sz w:val="32"/>
          <w:szCs w:val="32"/>
          <w:lang w:eastAsia="zh-CN"/>
        </w:rPr>
        <w:t>黄石市城发矿业有限公司</w:t>
      </w:r>
    </w:p>
    <w:p w14:paraId="15334A9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02BC428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14:paraId="08C207B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394B3235">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排废土夹石销售</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p>
    <w:p w14:paraId="0C1B85D1">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土夹石料。</w:t>
      </w:r>
    </w:p>
    <w:p w14:paraId="1ABFF41F">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作业区域： </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14:paraId="196EB6B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14:paraId="6DFE529F">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14:paraId="1280360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14:paraId="78D517A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安全生产管理的有关规定组织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14:paraId="2EF5271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14:paraId="067DFA45">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14:paraId="2EBBB65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管理规章制度，对作业人员进行安全教育和安全技术交底，并自觉接受甲方安全管理人员的监督管理。</w:t>
      </w:r>
    </w:p>
    <w:p w14:paraId="340D2B76">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14:paraId="4B8A6DB4">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14:paraId="127DE5E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7、销售输出过程中，因乙方人员违反安全规章制度，造成人员身体受到伤害或死亡、设备损坏、及生产事故，应由乙方承担全部责任，赔偿相应损失。</w:t>
      </w:r>
    </w:p>
    <w:p w14:paraId="27765F3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14:paraId="1CBAEE8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事故，必须按照国家有关规定，逐级上报，并告知甲方。甲方将根据合同规定进行处理。因超载运输、超速运输造成的问题及损失，由乙方承担全部责任。</w:t>
      </w:r>
    </w:p>
    <w:p w14:paraId="533BBEF0">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14:paraId="1F38242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r>
        <w:rPr>
          <w:rFonts w:hint="eastAsia" w:ascii="仿宋_GB2312" w:hAnsi="仿宋_GB2312" w:eastAsia="仿宋_GB2312" w:cs="仿宋_GB2312"/>
          <w:color w:val="auto"/>
          <w:sz w:val="32"/>
          <w:szCs w:val="32"/>
          <w:lang w:val="en-US" w:eastAsia="zh-CN"/>
        </w:rPr>
        <w:t>土夹石料</w:t>
      </w:r>
      <w:r>
        <w:rPr>
          <w:rFonts w:hint="eastAsia" w:ascii="仿宋_GB2312" w:hAnsi="仿宋_GB2312" w:eastAsia="仿宋_GB2312" w:cs="仿宋_GB2312"/>
          <w:color w:val="auto"/>
          <w:sz w:val="32"/>
          <w:szCs w:val="32"/>
        </w:rPr>
        <w:t>交易合同相同。本协议一式叁份，甲方持二份、乙方持一份。</w:t>
      </w:r>
    </w:p>
    <w:p w14:paraId="2592179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7E6A242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2FDFFF8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甲方（公章）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p>
    <w:p w14:paraId="622F96DC">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14:paraId="63681D81">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甲方 单位专业主管: </w:t>
      </w:r>
    </w:p>
    <w:p w14:paraId="71F34972">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4ABD925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576860E5">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16589138">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4AB0E735">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14:paraId="1732CD0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乙方（公章）</w:t>
      </w:r>
    </w:p>
    <w:p w14:paraId="3BB0EAD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乙方 单位责任人: </w:t>
      </w:r>
    </w:p>
    <w:p w14:paraId="6F11143D">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14:paraId="5817F02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3E55470C">
      <w:pPr>
        <w:pStyle w:val="6"/>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14:paraId="34A9AD95">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14:paraId="625A514D">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ACDCD73">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4C29DDA">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14C93067">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DF0CC1B">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429C486">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88B4D7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7C86F954">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FA09694">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14:paraId="6847384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63AF73D">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14:paraId="0C573067">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D9A241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9FD301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675D68F3">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14:paraId="38C1211C">
      <w:pPr>
        <w:pStyle w:val="15"/>
        <w:keepNext w:val="0"/>
        <w:keepLines w:val="0"/>
        <w:pageBreakBefore w:val="0"/>
        <w:numPr>
          <w:ilvl w:val="0"/>
          <w:numId w:val="4"/>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14:paraId="1FE15C93">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14:paraId="47426815">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14:paraId="05CBA984">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14:paraId="0679DA25">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其它需提交的资格审查证明文件</w:t>
      </w:r>
    </w:p>
    <w:p w14:paraId="1467EF0E">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4ECE2C95">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18723640">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7E667448">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C4DF42E">
      <w:pPr>
        <w:pStyle w:val="15"/>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p>
    <w:p w14:paraId="127DA4E4">
      <w:pPr>
        <w:pStyle w:val="15"/>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14:paraId="42441AF6">
      <w:pPr>
        <w:keepNext w:val="0"/>
        <w:keepLines w:val="0"/>
        <w:pageBreakBefore w:val="0"/>
        <w:numPr>
          <w:ilvl w:val="0"/>
          <w:numId w:val="5"/>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、合同条款、规范和其它有关文件有了全面深入的理解。我方同意邀请函的各项规定，</w:t>
      </w:r>
      <w:r>
        <w:rPr>
          <w:rFonts w:hint="eastAsia" w:ascii="仿宋_GB2312" w:hAnsi="仿宋_GB2312" w:eastAsia="仿宋_GB2312" w:cs="仿宋_GB2312"/>
          <w:color w:val="auto"/>
          <w:sz w:val="32"/>
          <w:szCs w:val="32"/>
          <w:lang w:val="en-US" w:eastAsia="zh-CN"/>
        </w:rPr>
        <w:t>愿以控制单价上浮的方式进行结算购买</w:t>
      </w:r>
      <w:r>
        <w:rPr>
          <w:rFonts w:hint="eastAsia" w:ascii="仿宋_GB2312" w:hAnsi="仿宋_GB2312" w:eastAsia="仿宋_GB2312" w:cs="仿宋_GB2312"/>
          <w:color w:val="auto"/>
          <w:sz w:val="32"/>
          <w:szCs w:val="32"/>
          <w:lang w:eastAsia="zh-CN"/>
        </w:rPr>
        <w:t>黄石市城发矿业有限公司排废土夹石料，</w:t>
      </w:r>
      <w:r>
        <w:rPr>
          <w:rFonts w:hint="eastAsia" w:ascii="仿宋_GB2312" w:hAnsi="仿宋_GB2312" w:eastAsia="仿宋_GB2312" w:cs="仿宋_GB2312"/>
          <w:color w:val="auto"/>
          <w:sz w:val="32"/>
          <w:szCs w:val="32"/>
          <w:lang w:val="en-US" w:eastAsia="zh-CN"/>
        </w:rPr>
        <w:t>最终的成交价含3%的税费。</w:t>
      </w:r>
      <w:r>
        <w:rPr>
          <w:rFonts w:hint="eastAsia" w:ascii="仿宋_GB2312" w:hAnsi="仿宋_GB2312" w:eastAsia="仿宋_GB2312" w:cs="仿宋_GB2312"/>
          <w:color w:val="auto"/>
          <w:sz w:val="32"/>
          <w:szCs w:val="32"/>
        </w:rPr>
        <w:t>（运输成本以及运输需要办理的相关手续产生的全部费用由中标人自行承担）。</w:t>
      </w:r>
    </w:p>
    <w:p w14:paraId="324B2FE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2、一旦我方竞价成功，我方保证在与贵公司签订合同生效后</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外运处置工作立即开始，承包期依据卖方实际装车情况确定。</w:t>
      </w:r>
    </w:p>
    <w:p w14:paraId="5099387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3、我单位同意在竞价有效期内严格遵守本竞价响应文件的各项承诺。在此期限届满之前，本竞价响应文件始终将对我方具有约束力，并随时接受中标。</w:t>
      </w:r>
    </w:p>
    <w:p w14:paraId="31BE4C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14:paraId="0BBB528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5、我方同意如果在规定的竞价会开始时间后，若在竞价有效期内撤回竞价，则保证金将被贵方没收。</w:t>
      </w:r>
    </w:p>
    <w:p w14:paraId="405FBDFE">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48FDFE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竞价人：（盖章）</w:t>
      </w:r>
      <w:r>
        <w:rPr>
          <w:rFonts w:hint="eastAsia" w:ascii="仿宋_GB2312" w:hAnsi="仿宋_GB2312" w:eastAsia="仿宋_GB2312" w:cs="仿宋_GB2312"/>
          <w:color w:val="auto"/>
          <w:sz w:val="32"/>
          <w:szCs w:val="32"/>
          <w:u w:val="single"/>
        </w:rPr>
        <w:t xml:space="preserve">                       </w:t>
      </w:r>
    </w:p>
    <w:p w14:paraId="4C036A35">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2683DA2E">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法定代表人：（签字、盖章）</w:t>
      </w:r>
      <w:r>
        <w:rPr>
          <w:rFonts w:hint="eastAsia" w:ascii="仿宋_GB2312" w:hAnsi="仿宋_GB2312" w:eastAsia="仿宋_GB2312" w:cs="仿宋_GB2312"/>
          <w:color w:val="auto"/>
          <w:sz w:val="32"/>
          <w:szCs w:val="32"/>
          <w:u w:val="single"/>
        </w:rPr>
        <w:t xml:space="preserve">                </w:t>
      </w:r>
    </w:p>
    <w:p w14:paraId="685EE23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14:paraId="481D3518">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14:paraId="43EF9F8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85E4A61">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2C94BFB7">
      <w:pPr>
        <w:keepNext w:val="0"/>
        <w:keepLines w:val="0"/>
        <w:pageBreakBefore w:val="0"/>
        <w:numPr>
          <w:ilvl w:val="0"/>
          <w:numId w:val="6"/>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14:paraId="306632E5">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7A83B05">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9150EBF">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14:paraId="39724444">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3B9AB351">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tbl>
      <w:tblPr>
        <w:tblStyle w:val="12"/>
        <w:tblpPr w:leftFromText="180" w:rightFromText="180" w:vertAnchor="text" w:horzAnchor="page" w:tblpX="1165" w:tblpY="407"/>
        <w:tblOverlap w:val="never"/>
        <w:tblW w:w="10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8416"/>
      </w:tblGrid>
      <w:tr w14:paraId="0A3D6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vAlign w:val="center"/>
          </w:tcPr>
          <w:p w14:paraId="38BF002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土夹石料</w:t>
            </w:r>
          </w:p>
        </w:tc>
        <w:tc>
          <w:tcPr>
            <w:tcW w:w="8416" w:type="dxa"/>
            <w:vAlign w:val="center"/>
          </w:tcPr>
          <w:p w14:paraId="3D87E1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lang w:val="en-US" w:eastAsia="zh-CN"/>
              </w:rPr>
              <w:t>土含量50%、石含量50%</w:t>
            </w:r>
          </w:p>
        </w:tc>
      </w:tr>
      <w:tr w14:paraId="6F22B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shd w:val="clear" w:color="auto" w:fill="auto"/>
            <w:vAlign w:val="center"/>
          </w:tcPr>
          <w:p w14:paraId="69DA2E8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控制价格</w:t>
            </w:r>
          </w:p>
        </w:tc>
        <w:tc>
          <w:tcPr>
            <w:tcW w:w="8416" w:type="dxa"/>
            <w:shd w:val="clear" w:color="auto" w:fill="auto"/>
            <w:vAlign w:val="center"/>
          </w:tcPr>
          <w:p w14:paraId="2F7543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8元/吨</w:t>
            </w:r>
          </w:p>
        </w:tc>
      </w:tr>
      <w:tr w14:paraId="396EA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079" w:type="dxa"/>
            <w:gridSpan w:val="2"/>
            <w:vAlign w:val="center"/>
          </w:tcPr>
          <w:p w14:paraId="4DD53C1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val="en-US" w:eastAsia="zh-CN"/>
              </w:rPr>
              <w:t>加价幅度为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元/吨</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b w:val="0"/>
                <w:bCs/>
                <w:color w:val="auto"/>
                <w:sz w:val="32"/>
                <w:szCs w:val="32"/>
                <w:lang w:val="en-US" w:eastAsia="zh-CN"/>
              </w:rPr>
              <w:t>上浮0.1元/吨或0.1的整倍数</w:t>
            </w:r>
            <w:r>
              <w:rPr>
                <w:rFonts w:hint="eastAsia" w:ascii="仿宋_GB2312" w:hAnsi="仿宋_GB2312" w:eastAsia="仿宋_GB2312" w:cs="仿宋_GB2312"/>
                <w:color w:val="auto"/>
                <w:sz w:val="32"/>
                <w:szCs w:val="32"/>
                <w:u w:val="none"/>
                <w:lang w:val="en-US" w:eastAsia="zh-CN"/>
              </w:rPr>
              <w:t>）</w:t>
            </w:r>
          </w:p>
        </w:tc>
      </w:tr>
    </w:tbl>
    <w:p w14:paraId="228A6FED">
      <w:pPr>
        <w:keepNext w:val="0"/>
        <w:keepLines w:val="0"/>
        <w:pageBreakBefore w:val="0"/>
        <w:kinsoku/>
        <w:wordWrap/>
        <w:topLinePunct w:val="0"/>
        <w:bidi w:val="0"/>
        <w:adjustRightInd w:val="0"/>
        <w:snapToGrid w:val="0"/>
        <w:spacing w:line="440" w:lineRule="exact"/>
        <w:rPr>
          <w:rFonts w:hint="default" w:ascii="仿宋_GB2312" w:hAnsi="仿宋_GB2312" w:eastAsia="仿宋_GB2312" w:cs="仿宋_GB2312"/>
          <w:color w:val="auto"/>
          <w:sz w:val="32"/>
          <w:szCs w:val="32"/>
          <w:lang w:val="en-US" w:eastAsia="zh-CN"/>
        </w:rPr>
      </w:pPr>
    </w:p>
    <w:p w14:paraId="1198CFF4">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注：以上的成交价格含3%的税费</w:t>
      </w:r>
      <w:r>
        <w:rPr>
          <w:rFonts w:hint="eastAsia" w:ascii="仿宋_GB2312" w:hAnsi="仿宋_GB2312" w:eastAsia="仿宋_GB2312" w:cs="仿宋_GB2312"/>
          <w:color w:val="auto"/>
          <w:sz w:val="32"/>
          <w:szCs w:val="32"/>
        </w:rPr>
        <w:t>。运输成本以及运输需要办理的相关手续产生的全部费用由中标人自行承担。本表填制原件一式两份，两份必须完全一致。其中一份装订于竞价文件正本内；另一份单独密封于小信封和“竞买人基本情况表”、“竞价保证金”一同提交，并在信封上标明“《竞价单》”字样，以方便竞价。另自备一份盖章空白竞价单，如果出现需二次竞价情况，现场再进行竞价。</w:t>
      </w:r>
    </w:p>
    <w:p w14:paraId="00E973B7">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14:paraId="679A48C1">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法人授权代表签字：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34CC6355">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14:paraId="47FB945D">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竞价人代表签字盖章：    </w:t>
      </w:r>
    </w:p>
    <w:p w14:paraId="59B8E8EC">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rPr>
      </w:pPr>
    </w:p>
    <w:p w14:paraId="297BDBBD">
      <w:pPr>
        <w:keepNext w:val="0"/>
        <w:keepLines w:val="0"/>
        <w:pageBreakBefore w:val="0"/>
        <w:kinsoku/>
        <w:wordWrap/>
        <w:topLinePunct w:val="0"/>
        <w:bidi w:val="0"/>
        <w:spacing w:line="440" w:lineRule="exact"/>
        <w:ind w:firstLine="5120" w:firstLineChars="1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14:paraId="659A4134">
      <w:pPr>
        <w:keepNext w:val="0"/>
        <w:keepLines w:val="0"/>
        <w:pageBreakBefore w:val="0"/>
        <w:kinsoku/>
        <w:wordWrap/>
        <w:topLinePunct w:val="0"/>
        <w:autoSpaceDE w:val="0"/>
        <w:autoSpaceDN w:val="0"/>
        <w:bidi w:val="0"/>
        <w:adjustRightInd w:val="0"/>
        <w:spacing w:line="440" w:lineRule="exact"/>
        <w:rPr>
          <w:rFonts w:hint="eastAsia" w:ascii="仿宋_GB2312" w:hAnsi="仿宋_GB2312" w:eastAsia="仿宋_GB2312" w:cs="仿宋_GB2312"/>
          <w:color w:val="auto"/>
          <w:sz w:val="32"/>
          <w:szCs w:val="32"/>
        </w:rPr>
      </w:pPr>
    </w:p>
    <w:p w14:paraId="1828F8FA">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04D1879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14:paraId="23E315E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9E05141">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543BEB0">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（姓名）系</w:t>
      </w:r>
      <w:r>
        <w:rPr>
          <w:rFonts w:hint="eastAsia" w:ascii="仿宋_GB2312" w:hAnsi="仿宋_GB2312" w:eastAsia="仿宋_GB2312" w:cs="仿宋_GB2312"/>
          <w:color w:val="auto"/>
          <w:sz w:val="32"/>
          <w:szCs w:val="32"/>
          <w:u w:val="single"/>
        </w:rPr>
        <w:t xml:space="preserve"> </w:t>
      </w:r>
    </w:p>
    <w:p w14:paraId="6A0253C2">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（姓名）为我的代理人，以本公司的名义参加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项目的竞价。代理人所签署的文件和处理与之有关的一切事物，我均以承认。</w:t>
      </w:r>
    </w:p>
    <w:p w14:paraId="3D706FA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14:paraId="56281F7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14:paraId="76685582">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A11892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9C81ED3">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法人授权代表签字：</w:t>
      </w:r>
    </w:p>
    <w:p w14:paraId="6A36DB51">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14:paraId="7EAAD780">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授权代表联系方式:</w:t>
      </w:r>
      <w:r>
        <w:rPr>
          <w:rFonts w:hint="eastAsia" w:ascii="仿宋_GB2312" w:hAnsi="仿宋_GB2312" w:eastAsia="仿宋_GB2312" w:cs="仿宋_GB2312"/>
          <w:color w:val="auto"/>
          <w:sz w:val="32"/>
          <w:szCs w:val="32"/>
          <w:u w:val="single"/>
        </w:rPr>
        <w:t xml:space="preserve">          </w:t>
      </w:r>
    </w:p>
    <w:p w14:paraId="26BA8266">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14:paraId="6E36203B">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竞买人代表签字盖章：</w:t>
      </w:r>
    </w:p>
    <w:p w14:paraId="656C7E40">
      <w:pPr>
        <w:keepNext w:val="0"/>
        <w:keepLines w:val="0"/>
        <w:pageBreakBefore w:val="0"/>
        <w:kinsoku/>
        <w:wordWrap/>
        <w:topLinePunct w:val="0"/>
        <w:bidi w:val="0"/>
        <w:spacing w:line="440" w:lineRule="exact"/>
        <w:ind w:firstLine="2240" w:firstLineChars="700"/>
        <w:rPr>
          <w:rFonts w:hint="eastAsia" w:ascii="仿宋_GB2312" w:hAnsi="仿宋_GB2312" w:eastAsia="仿宋_GB2312" w:cs="仿宋_GB2312"/>
          <w:color w:val="auto"/>
          <w:sz w:val="32"/>
          <w:szCs w:val="32"/>
        </w:rPr>
      </w:pPr>
    </w:p>
    <w:p w14:paraId="395A90E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14:paraId="21D0310C">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14:paraId="29E8A28A">
      <w:pPr>
        <w:keepNext w:val="0"/>
        <w:keepLines w:val="0"/>
        <w:pageBreakBefore w:val="0"/>
        <w:numPr>
          <w:ilvl w:val="0"/>
          <w:numId w:val="0"/>
        </w:numPr>
        <w:kinsoku/>
        <w:wordWrap/>
        <w:topLinePunct w:val="0"/>
        <w:bidi w:val="0"/>
        <w:spacing w:line="440" w:lineRule="exact"/>
        <w:ind w:left="1134" w:leftChars="0"/>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14:paraId="1A383D5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DB7BEFA">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06C9563">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10E748E">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14:paraId="488E81FF">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5FA130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1"/>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14:paraId="5D419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E95205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14:paraId="0A8A613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42B3F5A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733D685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14:paraId="00969EA9">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0096C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32EE932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14:paraId="6F972B2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14AA916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14:paraId="3651F80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14:paraId="0FCAC680">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6433A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EE50A7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14:paraId="2927754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14:paraId="27FD8E8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14:paraId="061B1D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042AFF3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14:paraId="0E89765B">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4ED9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F8238B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5A49916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14:paraId="7CDEA29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210AEC8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71A3CB3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14:paraId="6F48B8E7">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4F5BE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C78BCD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3944AEC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帐号</w:t>
            </w:r>
          </w:p>
        </w:tc>
        <w:tc>
          <w:tcPr>
            <w:tcW w:w="2198" w:type="dxa"/>
            <w:gridSpan w:val="2"/>
            <w:vAlign w:val="center"/>
          </w:tcPr>
          <w:p w14:paraId="65800A5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6D661A7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14:paraId="3612CC8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14:paraId="62E970DB">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14:paraId="6DA1DF5A">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6649E544">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312251D4">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07B21B50">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竞买人代表签字盖章：</w:t>
      </w:r>
    </w:p>
    <w:p w14:paraId="3B57E653">
      <w:pPr>
        <w:pStyle w:val="15"/>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14:paraId="5FDE9486">
      <w:pPr>
        <w:pStyle w:val="15"/>
        <w:keepNext w:val="0"/>
        <w:keepLines w:val="0"/>
        <w:pageBreakBefore w:val="0"/>
        <w:kinsoku/>
        <w:wordWrap/>
        <w:topLinePunct w:val="0"/>
        <w:bidi w:val="0"/>
        <w:spacing w:line="440" w:lineRule="exact"/>
        <w:ind w:firstLine="4800" w:firstLineChars="15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14:paraId="3D1F2BFF">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12641BFB">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14:paraId="63668AC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（五）竞价保证金凭证</w:t>
      </w:r>
    </w:p>
    <w:p w14:paraId="67CBF26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2CB8A4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E74E657">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8821ABD">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91CEA66">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767B88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A55696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7E4036E">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E9A9A67">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14:paraId="1E95EDC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5A226D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7DFCFA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F555C2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DADAC02">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910943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FA5139A">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D0F790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567BDB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1214A97">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14:paraId="4DA9112B">
        <w:pPr>
          <w:pStyle w:val="7"/>
          <w:jc w:val="center"/>
        </w:pPr>
        <w:r>
          <w:fldChar w:fldCharType="begin"/>
        </w:r>
        <w:r>
          <w:instrText xml:space="preserve">PAGE   \* MERGEFORMAT</w:instrText>
        </w:r>
        <w:r>
          <w:fldChar w:fldCharType="separate"/>
        </w:r>
        <w:r>
          <w:rPr>
            <w:lang w:val="zh-CN"/>
          </w:rPr>
          <w:t>6</w:t>
        </w:r>
        <w:r>
          <w:fldChar w:fldCharType="end"/>
        </w:r>
      </w:p>
    </w:sdtContent>
  </w:sdt>
  <w:p w14:paraId="61931F7E">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9F3BCFD5"/>
    <w:multiLevelType w:val="singleLevel"/>
    <w:tmpl w:val="9F3BCFD5"/>
    <w:lvl w:ilvl="0" w:tentative="0">
      <w:start w:val="1"/>
      <w:numFmt w:val="chineseCounting"/>
      <w:suff w:val="nothing"/>
      <w:lvlText w:val="%1、"/>
      <w:lvlJc w:val="left"/>
      <w:rPr>
        <w:rFonts w:hint="eastAsia"/>
      </w:rPr>
    </w:lvl>
  </w:abstractNum>
  <w:abstractNum w:abstractNumId="2">
    <w:nsid w:val="E18ED5EC"/>
    <w:multiLevelType w:val="singleLevel"/>
    <w:tmpl w:val="E18ED5EC"/>
    <w:lvl w:ilvl="0" w:tentative="0">
      <w:start w:val="1"/>
      <w:numFmt w:val="chineseCounting"/>
      <w:suff w:val="nothing"/>
      <w:lvlText w:val="%1、"/>
      <w:lvlJc w:val="left"/>
      <w:rPr>
        <w:rFonts w:hint="eastAsia"/>
      </w:rPr>
    </w:lvl>
  </w:abstractNum>
  <w:abstractNum w:abstractNumId="3">
    <w:nsid w:val="F7F11C21"/>
    <w:multiLevelType w:val="singleLevel"/>
    <w:tmpl w:val="F7F11C21"/>
    <w:lvl w:ilvl="0" w:tentative="0">
      <w:start w:val="2"/>
      <w:numFmt w:val="chineseCounting"/>
      <w:suff w:val="nothing"/>
      <w:lvlText w:val="%1、"/>
      <w:lvlJc w:val="left"/>
      <w:rPr>
        <w:rFonts w:hint="eastAsia"/>
      </w:rPr>
    </w:lvl>
  </w:abstractNum>
  <w:abstractNum w:abstractNumId="4">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5">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2MzM0ZmE5ZWUyY2IxMjg1N2RhZWIxMDJiMDQyMW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826A17"/>
    <w:rsid w:val="01A87AFF"/>
    <w:rsid w:val="02FA3AEE"/>
    <w:rsid w:val="03806F86"/>
    <w:rsid w:val="03DF0D9A"/>
    <w:rsid w:val="055C757F"/>
    <w:rsid w:val="05CC64B2"/>
    <w:rsid w:val="064249C6"/>
    <w:rsid w:val="066A52E3"/>
    <w:rsid w:val="06B6300F"/>
    <w:rsid w:val="07140111"/>
    <w:rsid w:val="07516F96"/>
    <w:rsid w:val="07C145F9"/>
    <w:rsid w:val="08E753B1"/>
    <w:rsid w:val="095011A8"/>
    <w:rsid w:val="09A84B40"/>
    <w:rsid w:val="0AB45767"/>
    <w:rsid w:val="0E124C7E"/>
    <w:rsid w:val="0E697FB6"/>
    <w:rsid w:val="0E874830"/>
    <w:rsid w:val="0EC3241C"/>
    <w:rsid w:val="0EF3685E"/>
    <w:rsid w:val="0F985F5C"/>
    <w:rsid w:val="0FE32D76"/>
    <w:rsid w:val="0FF85190"/>
    <w:rsid w:val="110D3DFB"/>
    <w:rsid w:val="11D30E05"/>
    <w:rsid w:val="11DD55A3"/>
    <w:rsid w:val="1229159F"/>
    <w:rsid w:val="12372005"/>
    <w:rsid w:val="12414012"/>
    <w:rsid w:val="12FE3A23"/>
    <w:rsid w:val="131E40C5"/>
    <w:rsid w:val="132F62D2"/>
    <w:rsid w:val="135C1165"/>
    <w:rsid w:val="14763A95"/>
    <w:rsid w:val="15A954E0"/>
    <w:rsid w:val="15E45152"/>
    <w:rsid w:val="16446688"/>
    <w:rsid w:val="1664545E"/>
    <w:rsid w:val="17EE3C6F"/>
    <w:rsid w:val="188175E6"/>
    <w:rsid w:val="19033B41"/>
    <w:rsid w:val="1A3F329F"/>
    <w:rsid w:val="1AD31C39"/>
    <w:rsid w:val="1B72711F"/>
    <w:rsid w:val="1B810A0E"/>
    <w:rsid w:val="1BBC447B"/>
    <w:rsid w:val="1C163B8C"/>
    <w:rsid w:val="1C640D9B"/>
    <w:rsid w:val="1E534419"/>
    <w:rsid w:val="1EF54C47"/>
    <w:rsid w:val="1F164BA3"/>
    <w:rsid w:val="1F7F7C9A"/>
    <w:rsid w:val="208D0D9B"/>
    <w:rsid w:val="20B35783"/>
    <w:rsid w:val="20E35ED8"/>
    <w:rsid w:val="21027CCC"/>
    <w:rsid w:val="213B5E42"/>
    <w:rsid w:val="22000B5E"/>
    <w:rsid w:val="22561186"/>
    <w:rsid w:val="22BB723B"/>
    <w:rsid w:val="237D0994"/>
    <w:rsid w:val="242F6132"/>
    <w:rsid w:val="2448337C"/>
    <w:rsid w:val="2549195E"/>
    <w:rsid w:val="255816B9"/>
    <w:rsid w:val="259A6F56"/>
    <w:rsid w:val="26E34802"/>
    <w:rsid w:val="283C7070"/>
    <w:rsid w:val="2A2038BC"/>
    <w:rsid w:val="2A241B69"/>
    <w:rsid w:val="2A683AA1"/>
    <w:rsid w:val="2AC60E73"/>
    <w:rsid w:val="2B3109C4"/>
    <w:rsid w:val="2C3E7507"/>
    <w:rsid w:val="2CF66600"/>
    <w:rsid w:val="2D1F37BE"/>
    <w:rsid w:val="2DE7275E"/>
    <w:rsid w:val="2E954DE4"/>
    <w:rsid w:val="2F1975EF"/>
    <w:rsid w:val="2F1B4F6F"/>
    <w:rsid w:val="2F35168E"/>
    <w:rsid w:val="30E20088"/>
    <w:rsid w:val="313E7D81"/>
    <w:rsid w:val="318E1B09"/>
    <w:rsid w:val="3191532C"/>
    <w:rsid w:val="31FF412A"/>
    <w:rsid w:val="32DA370D"/>
    <w:rsid w:val="333077D1"/>
    <w:rsid w:val="33B26438"/>
    <w:rsid w:val="33F10A95"/>
    <w:rsid w:val="343230D5"/>
    <w:rsid w:val="34767465"/>
    <w:rsid w:val="355E0625"/>
    <w:rsid w:val="361231BE"/>
    <w:rsid w:val="36D37903"/>
    <w:rsid w:val="3747004D"/>
    <w:rsid w:val="37647A49"/>
    <w:rsid w:val="376D0FF4"/>
    <w:rsid w:val="39E4607B"/>
    <w:rsid w:val="3AC95682"/>
    <w:rsid w:val="3B025602"/>
    <w:rsid w:val="3BA34E24"/>
    <w:rsid w:val="3BCF77BE"/>
    <w:rsid w:val="3D3B749E"/>
    <w:rsid w:val="3DEB5606"/>
    <w:rsid w:val="3E9E5F37"/>
    <w:rsid w:val="3EC809E3"/>
    <w:rsid w:val="4067395D"/>
    <w:rsid w:val="409C0254"/>
    <w:rsid w:val="40E10790"/>
    <w:rsid w:val="416F5968"/>
    <w:rsid w:val="420A5249"/>
    <w:rsid w:val="428E320A"/>
    <w:rsid w:val="42FE01ED"/>
    <w:rsid w:val="431762B8"/>
    <w:rsid w:val="44A578BE"/>
    <w:rsid w:val="45BC0379"/>
    <w:rsid w:val="4657120D"/>
    <w:rsid w:val="4687650F"/>
    <w:rsid w:val="47240FA3"/>
    <w:rsid w:val="478A74E5"/>
    <w:rsid w:val="47E524E0"/>
    <w:rsid w:val="48667F39"/>
    <w:rsid w:val="48861F15"/>
    <w:rsid w:val="49415E3C"/>
    <w:rsid w:val="4A8C758B"/>
    <w:rsid w:val="4B1E375C"/>
    <w:rsid w:val="4B2B2B72"/>
    <w:rsid w:val="4BE8259F"/>
    <w:rsid w:val="4C8A5D4C"/>
    <w:rsid w:val="4D023B34"/>
    <w:rsid w:val="4DA371C2"/>
    <w:rsid w:val="4DB70800"/>
    <w:rsid w:val="4EEE453B"/>
    <w:rsid w:val="4EF179BD"/>
    <w:rsid w:val="4F740EFC"/>
    <w:rsid w:val="4F8A1CF6"/>
    <w:rsid w:val="50401883"/>
    <w:rsid w:val="50D718FF"/>
    <w:rsid w:val="510065DD"/>
    <w:rsid w:val="51654692"/>
    <w:rsid w:val="51CD0973"/>
    <w:rsid w:val="54FE72D7"/>
    <w:rsid w:val="554339C9"/>
    <w:rsid w:val="564E60C4"/>
    <w:rsid w:val="58A75590"/>
    <w:rsid w:val="58D04AE7"/>
    <w:rsid w:val="5AAE6F30"/>
    <w:rsid w:val="5B5D71EA"/>
    <w:rsid w:val="5C0C7A9D"/>
    <w:rsid w:val="5C2F421A"/>
    <w:rsid w:val="5CB00EB7"/>
    <w:rsid w:val="5CDA6EA9"/>
    <w:rsid w:val="5D235B2D"/>
    <w:rsid w:val="5D32586C"/>
    <w:rsid w:val="5D830149"/>
    <w:rsid w:val="5D9C143B"/>
    <w:rsid w:val="5E141E77"/>
    <w:rsid w:val="5E850121"/>
    <w:rsid w:val="5E9F7435"/>
    <w:rsid w:val="5EB17168"/>
    <w:rsid w:val="5FF92B75"/>
    <w:rsid w:val="6170330B"/>
    <w:rsid w:val="61B96A60"/>
    <w:rsid w:val="622F0AD0"/>
    <w:rsid w:val="62720475"/>
    <w:rsid w:val="62B965EC"/>
    <w:rsid w:val="62C05BCC"/>
    <w:rsid w:val="62ED0438"/>
    <w:rsid w:val="647E2743"/>
    <w:rsid w:val="64B14D8B"/>
    <w:rsid w:val="654B0AC4"/>
    <w:rsid w:val="660F2EE5"/>
    <w:rsid w:val="66100C18"/>
    <w:rsid w:val="674548F2"/>
    <w:rsid w:val="675D6061"/>
    <w:rsid w:val="67DC12F1"/>
    <w:rsid w:val="682A2AEE"/>
    <w:rsid w:val="699D0A15"/>
    <w:rsid w:val="6A227DA1"/>
    <w:rsid w:val="6A4836BC"/>
    <w:rsid w:val="6AFA6A9A"/>
    <w:rsid w:val="6BF15048"/>
    <w:rsid w:val="6D8E1A47"/>
    <w:rsid w:val="6EFE406D"/>
    <w:rsid w:val="6F205BCB"/>
    <w:rsid w:val="6F7D6FD7"/>
    <w:rsid w:val="6FCD31C9"/>
    <w:rsid w:val="70F3716D"/>
    <w:rsid w:val="72321849"/>
    <w:rsid w:val="72EA28F3"/>
    <w:rsid w:val="732D6613"/>
    <w:rsid w:val="74597C2E"/>
    <w:rsid w:val="74B12048"/>
    <w:rsid w:val="762302DC"/>
    <w:rsid w:val="764A099B"/>
    <w:rsid w:val="77857482"/>
    <w:rsid w:val="78C529C7"/>
    <w:rsid w:val="791E4FA3"/>
    <w:rsid w:val="793D7B1F"/>
    <w:rsid w:val="7A1C7734"/>
    <w:rsid w:val="7A5F5873"/>
    <w:rsid w:val="7AE7015F"/>
    <w:rsid w:val="7B5B386E"/>
    <w:rsid w:val="7BE339A3"/>
    <w:rsid w:val="7C1C3A1B"/>
    <w:rsid w:val="7D2D3A06"/>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uiPriority w:val="99"/>
    <w:pPr>
      <w:jc w:val="left"/>
    </w:pPr>
  </w:style>
  <w:style w:type="paragraph" w:styleId="4">
    <w:name w:val="Body Text"/>
    <w:basedOn w:val="1"/>
    <w:link w:val="30"/>
    <w:qFormat/>
    <w:uiPriority w:val="0"/>
    <w:pPr>
      <w:spacing w:after="120"/>
    </w:pPr>
    <w:rPr>
      <w:szCs w:val="24"/>
    </w:rPr>
  </w:style>
  <w:style w:type="paragraph" w:styleId="5">
    <w:name w:val="Plain Text"/>
    <w:basedOn w:val="1"/>
    <w:link w:val="16"/>
    <w:qFormat/>
    <w:uiPriority w:val="0"/>
    <w:rPr>
      <w:rFonts w:ascii="宋体" w:hAnsi="Courier New" w:eastAsia="宋体"/>
      <w:szCs w:val="20"/>
    </w:rPr>
  </w:style>
  <w:style w:type="paragraph" w:styleId="6">
    <w:name w:val="Balloon Text"/>
    <w:basedOn w:val="1"/>
    <w:link w:val="26"/>
    <w:semiHidden/>
    <w:unhideWhenUsed/>
    <w:qFormat/>
    <w:uiPriority w:val="0"/>
    <w:rPr>
      <w:sz w:val="18"/>
      <w:szCs w:val="18"/>
    </w:rPr>
  </w:style>
  <w:style w:type="paragraph" w:styleId="7">
    <w:name w:val="footer"/>
    <w:basedOn w:val="1"/>
    <w:link w:val="23"/>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paragraph" w:styleId="15">
    <w:name w:val="List Paragraph"/>
    <w:basedOn w:val="1"/>
    <w:qFormat/>
    <w:uiPriority w:val="34"/>
    <w:pPr>
      <w:ind w:firstLine="420" w:firstLineChars="200"/>
    </w:pPr>
  </w:style>
  <w:style w:type="character" w:customStyle="1" w:styleId="16">
    <w:name w:val="纯文本 字符"/>
    <w:link w:val="5"/>
    <w:qFormat/>
    <w:uiPriority w:val="0"/>
    <w:rPr>
      <w:rFonts w:ascii="宋体" w:hAnsi="Courier New" w:eastAsia="宋体"/>
      <w:kern w:val="2"/>
      <w:sz w:val="21"/>
    </w:rPr>
  </w:style>
  <w:style w:type="character" w:customStyle="1" w:styleId="17">
    <w:name w:val="纯文本 Char1"/>
    <w:basedOn w:val="13"/>
    <w:semiHidden/>
    <w:qFormat/>
    <w:uiPriority w:val="99"/>
    <w:rPr>
      <w:rFonts w:ascii="宋体" w:hAnsi="Courier New" w:eastAsia="宋体" w:cs="Courier New"/>
      <w:kern w:val="2"/>
      <w:sz w:val="21"/>
      <w:szCs w:val="21"/>
    </w:rPr>
  </w:style>
  <w:style w:type="paragraph" w:customStyle="1" w:styleId="18">
    <w:name w:val="p0"/>
    <w:basedOn w:val="1"/>
    <w:qFormat/>
    <w:uiPriority w:val="0"/>
    <w:pPr>
      <w:widowControl/>
    </w:pPr>
    <w:rPr>
      <w:rFonts w:ascii="Calibri" w:hAnsi="Calibri" w:eastAsia="宋体" w:cs="Calibri"/>
      <w:kern w:val="0"/>
      <w:szCs w:val="21"/>
    </w:rPr>
  </w:style>
  <w:style w:type="paragraph" w:customStyle="1" w:styleId="19">
    <w:name w:val="msolistparagraph"/>
    <w:basedOn w:val="1"/>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qFormat/>
    <w:uiPriority w:val="0"/>
    <w:rPr>
      <w:kern w:val="2"/>
      <w:sz w:val="21"/>
      <w:szCs w:val="24"/>
    </w:rPr>
  </w:style>
  <w:style w:type="character" w:customStyle="1" w:styleId="21">
    <w:name w:val="正文文本 Char1"/>
    <w:basedOn w:val="13"/>
    <w:semiHidden/>
    <w:qFormat/>
    <w:uiPriority w:val="99"/>
    <w:rPr>
      <w:kern w:val="2"/>
      <w:sz w:val="21"/>
      <w:szCs w:val="22"/>
    </w:rPr>
  </w:style>
  <w:style w:type="character" w:customStyle="1" w:styleId="22">
    <w:name w:val="页眉 字符"/>
    <w:basedOn w:val="13"/>
    <w:link w:val="8"/>
    <w:qFormat/>
    <w:uiPriority w:val="99"/>
    <w:rPr>
      <w:kern w:val="2"/>
      <w:sz w:val="18"/>
      <w:szCs w:val="18"/>
    </w:rPr>
  </w:style>
  <w:style w:type="character" w:customStyle="1" w:styleId="23">
    <w:name w:val="页脚 字符"/>
    <w:basedOn w:val="13"/>
    <w:link w:val="7"/>
    <w:qFormat/>
    <w:uiPriority w:val="99"/>
    <w:rPr>
      <w:kern w:val="2"/>
      <w:sz w:val="18"/>
      <w:szCs w:val="18"/>
    </w:rPr>
  </w:style>
  <w:style w:type="character" w:customStyle="1" w:styleId="24">
    <w:name w:val="标题 1 字符"/>
    <w:basedOn w:val="13"/>
    <w:link w:val="2"/>
    <w:qFormat/>
    <w:uiPriority w:val="9"/>
    <w:rPr>
      <w:b/>
      <w:bCs/>
      <w:kern w:val="44"/>
      <w:sz w:val="44"/>
      <w:szCs w:val="44"/>
    </w:rPr>
  </w:style>
  <w:style w:type="paragraph" w:customStyle="1" w:styleId="2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semiHidden/>
    <w:qFormat/>
    <w:uiPriority w:val="0"/>
    <w:rPr>
      <w:kern w:val="2"/>
      <w:sz w:val="18"/>
      <w:szCs w:val="18"/>
    </w:rPr>
  </w:style>
  <w:style w:type="paragraph" w:customStyle="1" w:styleId="27">
    <w:name w:val="TOC 标题2"/>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qFormat/>
    <w:uiPriority w:val="0"/>
  </w:style>
  <w:style w:type="character" w:customStyle="1" w:styleId="29">
    <w:name w:val="正文文本首行缩进 字符"/>
    <w:basedOn w:val="30"/>
    <w:qFormat/>
    <w:uiPriority w:val="0"/>
    <w:rPr>
      <w:kern w:val="2"/>
      <w:sz w:val="21"/>
      <w:szCs w:val="24"/>
    </w:rPr>
  </w:style>
  <w:style w:type="character" w:customStyle="1" w:styleId="30">
    <w:name w:val="正文文本 字符"/>
    <w:basedOn w:val="13"/>
    <w:link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11169</Words>
  <Characters>11612</Characters>
  <Lines>100</Lines>
  <Paragraphs>28</Paragraphs>
  <TotalTime>0</TotalTime>
  <ScaleCrop>false</ScaleCrop>
  <LinksUpToDate>false</LinksUpToDate>
  <CharactersWithSpaces>12295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董先生</cp:lastModifiedBy>
  <cp:lastPrinted>2024-10-11T03:44:00Z</cp:lastPrinted>
  <dcterms:modified xsi:type="dcterms:W3CDTF">2024-10-12T01:11:29Z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3AC6438507C643899BF7C372E67DEF3D_13</vt:lpwstr>
  </property>
</Properties>
</file>