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snapToGrid w:val="0"/>
        <w:jc w:val="both"/>
        <w:rPr>
          <w:color w:val="auto"/>
          <w:w w:val="104"/>
          <w:sz w:val="36"/>
          <w:szCs w:val="36"/>
          <w:highlight w:val="none"/>
        </w:rPr>
      </w:pPr>
      <w:bookmarkStart w:id="0" w:name="_Toc44768249"/>
      <w:bookmarkStart w:id="1" w:name="_Toc10459"/>
      <w:bookmarkStart w:id="2" w:name="_Toc10416"/>
      <w:bookmarkStart w:id="3" w:name="_Toc5788"/>
      <w:bookmarkStart w:id="4" w:name="_Toc44767816"/>
      <w:bookmarkStart w:id="5" w:name="_Toc17677"/>
      <w:bookmarkStart w:id="6" w:name="_Toc14777"/>
      <w:bookmarkStart w:id="7" w:name="_Toc44767971"/>
      <w:r>
        <w:rPr>
          <w:rFonts w:hint="eastAsia"/>
          <w:bCs/>
          <w:color w:val="auto"/>
          <w:sz w:val="72"/>
          <w:szCs w:val="72"/>
          <w:highlight w:val="none"/>
          <w:lang w:val="en-US" w:bidi="ar-SA"/>
        </w:rPr>
        <w:drawing>
          <wp:anchor distT="0" distB="0" distL="114300" distR="114300" simplePos="0" relativeHeight="251665408" behindDoc="0" locked="0" layoutInCell="1" allowOverlap="1">
            <wp:simplePos x="0" y="0"/>
            <wp:positionH relativeFrom="column">
              <wp:posOffset>434975</wp:posOffset>
            </wp:positionH>
            <wp:positionV relativeFrom="paragraph">
              <wp:posOffset>101600</wp:posOffset>
            </wp:positionV>
            <wp:extent cx="722630" cy="726440"/>
            <wp:effectExtent l="0" t="0" r="1270" b="16510"/>
            <wp:wrapSquare wrapText="bothSides"/>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15" cstate="print"/>
                    <a:stretch>
                      <a:fillRect/>
                    </a:stretch>
                  </pic:blipFill>
                  <pic:spPr>
                    <a:xfrm>
                      <a:off x="0" y="0"/>
                      <a:ext cx="722630" cy="726440"/>
                    </a:xfrm>
                    <a:prstGeom prst="rect">
                      <a:avLst/>
                    </a:prstGeom>
                    <a:noFill/>
                    <a:ln>
                      <a:noFill/>
                    </a:ln>
                  </pic:spPr>
                </pic:pic>
              </a:graphicData>
            </a:graphic>
          </wp:anchor>
        </w:drawing>
      </w:r>
      <w:bookmarkEnd w:id="0"/>
      <w:bookmarkEnd w:id="1"/>
      <w:bookmarkEnd w:id="2"/>
      <w:bookmarkEnd w:id="3"/>
      <w:bookmarkEnd w:id="4"/>
      <w:bookmarkEnd w:id="5"/>
      <w:bookmarkEnd w:id="6"/>
      <w:bookmarkEnd w:id="7"/>
      <w:r>
        <w:rPr>
          <w:rFonts w:hint="eastAsia" w:ascii="宋体" w:hAnsi="宋体"/>
          <w:bCs/>
          <w:color w:val="auto"/>
          <w:sz w:val="72"/>
          <w:szCs w:val="72"/>
          <w:highlight w:val="none"/>
        </w:rPr>
        <w:t>湖北城发设计咨询集团</w:t>
      </w:r>
    </w:p>
    <w:p>
      <w:pPr>
        <w:pStyle w:val="10"/>
        <w:snapToGrid w:val="0"/>
        <w:spacing w:line="360" w:lineRule="auto"/>
        <w:jc w:val="center"/>
        <w:textAlignment w:val="baseline"/>
        <w:rPr>
          <w:b/>
          <w:bCs/>
          <w:color w:val="auto"/>
          <w:sz w:val="18"/>
          <w:szCs w:val="18"/>
          <w:highlight w:val="none"/>
          <w:lang w:val="en-US"/>
        </w:rPr>
      </w:pPr>
    </w:p>
    <w:p>
      <w:pPr>
        <w:snapToGrid w:val="0"/>
        <w:spacing w:line="300" w:lineRule="auto"/>
        <w:textAlignment w:val="baseline"/>
        <w:rPr>
          <w:rFonts w:cs="黑体"/>
          <w:bCs/>
          <w:color w:val="auto"/>
          <w:sz w:val="84"/>
          <w:szCs w:val="84"/>
          <w:highlight w:val="none"/>
        </w:rPr>
      </w:pPr>
    </w:p>
    <w:p>
      <w:pPr>
        <w:pStyle w:val="16"/>
        <w:textAlignment w:val="baseline"/>
        <w:rPr>
          <w:color w:val="auto"/>
          <w:highlight w:val="none"/>
        </w:rPr>
      </w:pPr>
    </w:p>
    <w:p>
      <w:pPr>
        <w:snapToGrid w:val="0"/>
        <w:spacing w:line="300" w:lineRule="auto"/>
        <w:jc w:val="center"/>
        <w:textAlignment w:val="baseline"/>
        <w:rPr>
          <w:b/>
          <w:bCs/>
          <w:color w:val="auto"/>
          <w:sz w:val="72"/>
          <w:szCs w:val="44"/>
          <w:highlight w:val="none"/>
        </w:rPr>
      </w:pPr>
      <w:r>
        <w:rPr>
          <w:rFonts w:hint="eastAsia" w:cs="黑体"/>
          <w:b/>
          <w:bCs/>
          <w:color w:val="auto"/>
          <w:sz w:val="84"/>
          <w:szCs w:val="84"/>
          <w:highlight w:val="none"/>
        </w:rPr>
        <w:t>招 标 文 件</w:t>
      </w: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left="1760" w:leftChars="800"/>
        <w:textAlignment w:val="baseline"/>
        <w:rPr>
          <w:bCs/>
          <w:color w:val="auto"/>
          <w:sz w:val="30"/>
          <w:szCs w:val="30"/>
          <w:highlight w:val="none"/>
          <w:lang w:val="en-US"/>
        </w:rPr>
      </w:pPr>
      <w:r>
        <w:rPr>
          <w:rFonts w:hint="eastAsia"/>
          <w:b/>
          <w:bCs/>
          <w:color w:val="auto"/>
          <w:sz w:val="30"/>
          <w:szCs w:val="30"/>
          <w:highlight w:val="none"/>
        </w:rPr>
        <w:t>项目</w:t>
      </w:r>
      <w:r>
        <w:rPr>
          <w:rFonts w:hint="eastAsia"/>
          <w:b/>
          <w:bCs/>
          <w:color w:val="auto"/>
          <w:sz w:val="28"/>
          <w:szCs w:val="28"/>
          <w:highlight w:val="none"/>
        </w:rPr>
        <w:t>编号：</w:t>
      </w:r>
      <w:r>
        <w:rPr>
          <w:rFonts w:hint="eastAsia"/>
          <w:color w:val="auto"/>
          <w:sz w:val="28"/>
          <w:szCs w:val="28"/>
          <w:highlight w:val="none"/>
        </w:rPr>
        <w:t>CFSJZXJT2021-</w:t>
      </w:r>
      <w:r>
        <w:rPr>
          <w:rFonts w:hint="eastAsia"/>
          <w:color w:val="auto"/>
          <w:sz w:val="28"/>
          <w:szCs w:val="28"/>
          <w:highlight w:val="none"/>
          <w:lang w:val="en-US" w:eastAsia="zh-CN"/>
        </w:rPr>
        <w:t xml:space="preserve">143  </w:t>
      </w:r>
      <w:r>
        <w:rPr>
          <w:rFonts w:hint="eastAsia"/>
          <w:color w:val="auto"/>
          <w:sz w:val="28"/>
          <w:szCs w:val="28"/>
          <w:highlight w:val="none"/>
          <w:lang w:val="en-US"/>
        </w:rPr>
        <w:t xml:space="preserve"> </w:t>
      </w:r>
      <w:r>
        <w:rPr>
          <w:rFonts w:hint="eastAsia"/>
          <w:bCs/>
          <w:color w:val="auto"/>
          <w:sz w:val="30"/>
          <w:szCs w:val="30"/>
          <w:highlight w:val="none"/>
          <w:lang w:val="en-US"/>
        </w:rPr>
        <w:t xml:space="preserve">  </w:t>
      </w:r>
    </w:p>
    <w:p>
      <w:pPr>
        <w:pStyle w:val="10"/>
        <w:snapToGrid w:val="0"/>
        <w:spacing w:line="360" w:lineRule="auto"/>
        <w:ind w:left="1760" w:leftChars="800"/>
        <w:textAlignment w:val="baseline"/>
        <w:rPr>
          <w:b/>
          <w:bCs/>
          <w:color w:val="auto"/>
          <w:sz w:val="28"/>
          <w:szCs w:val="28"/>
          <w:highlight w:val="none"/>
        </w:rPr>
      </w:pPr>
      <w:r>
        <w:rPr>
          <w:rFonts w:hint="eastAsia"/>
          <w:b/>
          <w:bCs/>
          <w:color w:val="auto"/>
          <w:sz w:val="28"/>
          <w:szCs w:val="28"/>
          <w:highlight w:val="none"/>
        </w:rPr>
        <w:t>项目名称：</w:t>
      </w:r>
      <w:r>
        <w:rPr>
          <w:rFonts w:hint="eastAsia"/>
          <w:color w:val="auto"/>
          <w:sz w:val="30"/>
          <w:szCs w:val="30"/>
          <w:highlight w:val="none"/>
        </w:rPr>
        <w:t>黄石市二医院</w:t>
      </w:r>
      <w:r>
        <w:rPr>
          <w:rFonts w:hint="eastAsia"/>
          <w:color w:val="auto"/>
          <w:sz w:val="30"/>
          <w:szCs w:val="30"/>
          <w:highlight w:val="none"/>
          <w:lang w:eastAsia="zh-CN"/>
        </w:rPr>
        <w:t>高低压配电房至冷水机组密集型母线槽</w:t>
      </w:r>
      <w:r>
        <w:rPr>
          <w:rFonts w:hint="eastAsia"/>
          <w:color w:val="auto"/>
          <w:sz w:val="30"/>
          <w:szCs w:val="30"/>
          <w:highlight w:val="none"/>
        </w:rPr>
        <w:t>采购及安装项目</w:t>
      </w:r>
    </w:p>
    <w:p>
      <w:pPr>
        <w:pStyle w:val="10"/>
        <w:snapToGrid w:val="0"/>
        <w:spacing w:line="360" w:lineRule="auto"/>
        <w:ind w:left="1760" w:leftChars="800"/>
        <w:textAlignment w:val="baseline"/>
        <w:rPr>
          <w:color w:val="auto"/>
          <w:sz w:val="30"/>
          <w:szCs w:val="30"/>
          <w:highlight w:val="none"/>
        </w:rPr>
      </w:pPr>
      <w:r>
        <w:rPr>
          <w:rFonts w:hint="eastAsia"/>
          <w:b/>
          <w:bCs/>
          <w:color w:val="auto"/>
          <w:sz w:val="30"/>
          <w:szCs w:val="30"/>
          <w:highlight w:val="none"/>
        </w:rPr>
        <w:t>招标人：</w:t>
      </w:r>
      <w:r>
        <w:rPr>
          <w:rFonts w:hint="eastAsia"/>
          <w:color w:val="auto"/>
          <w:sz w:val="30"/>
          <w:szCs w:val="30"/>
          <w:highlight w:val="none"/>
        </w:rPr>
        <w:t>黄石市二医院有限公司</w:t>
      </w:r>
    </w:p>
    <w:p>
      <w:pPr>
        <w:snapToGrid w:val="0"/>
        <w:jc w:val="both"/>
        <w:textAlignment w:val="baseline"/>
        <w:rPr>
          <w:b/>
          <w:color w:val="auto"/>
          <w:sz w:val="32"/>
          <w:szCs w:val="32"/>
          <w:highlight w:val="none"/>
        </w:rPr>
      </w:pPr>
    </w:p>
    <w:p>
      <w:pPr>
        <w:snapToGrid w:val="0"/>
        <w:jc w:val="center"/>
        <w:textAlignment w:val="baseline"/>
        <w:rPr>
          <w:b/>
          <w:color w:val="auto"/>
          <w:sz w:val="32"/>
          <w:szCs w:val="32"/>
          <w:highlight w:val="none"/>
        </w:rPr>
      </w:pPr>
    </w:p>
    <w:p>
      <w:pPr>
        <w:pStyle w:val="40"/>
        <w:ind w:firstLine="420"/>
        <w:rPr>
          <w:color w:val="auto"/>
          <w:highlight w:val="none"/>
        </w:rPr>
      </w:pPr>
    </w:p>
    <w:p>
      <w:pPr>
        <w:snapToGrid w:val="0"/>
        <w:jc w:val="center"/>
        <w:textAlignment w:val="baseline"/>
        <w:rPr>
          <w:b/>
          <w:color w:val="auto"/>
          <w:sz w:val="32"/>
          <w:szCs w:val="32"/>
          <w:highlight w:val="none"/>
        </w:rPr>
      </w:pPr>
      <w:r>
        <w:rPr>
          <w:rFonts w:hint="eastAsia"/>
          <w:b/>
          <w:color w:val="auto"/>
          <w:sz w:val="32"/>
          <w:szCs w:val="32"/>
          <w:highlight w:val="none"/>
        </w:rPr>
        <w:t>湖北城发设计咨询集团有限公司</w:t>
      </w:r>
    </w:p>
    <w:p>
      <w:pPr>
        <w:snapToGrid w:val="0"/>
        <w:jc w:val="center"/>
        <w:textAlignment w:val="baseline"/>
        <w:rPr>
          <w:color w:val="auto"/>
          <w:sz w:val="20"/>
          <w:highlight w:val="none"/>
        </w:rPr>
        <w:sectPr>
          <w:headerReference r:id="rId3" w:type="default"/>
          <w:footerReference r:id="rId5" w:type="default"/>
          <w:headerReference r:id="rId4" w:type="even"/>
          <w:footerReference r:id="rId6" w:type="even"/>
          <w:pgSz w:w="11900" w:h="16840"/>
          <w:pgMar w:top="1321" w:right="1179" w:bottom="1219" w:left="1219" w:header="879" w:footer="1020" w:gutter="0"/>
          <w:pgNumType w:start="1"/>
          <w:cols w:space="0" w:num="1"/>
          <w:rtlGutter w:val="0"/>
          <w:docGrid w:linePitch="0" w:charSpace="0"/>
        </w:sectPr>
      </w:pPr>
      <w:r>
        <w:rPr>
          <w:rFonts w:hint="eastAsia"/>
          <w:b/>
          <w:color w:val="auto"/>
          <w:sz w:val="32"/>
          <w:szCs w:val="32"/>
          <w:highlight w:val="none"/>
        </w:rPr>
        <w:t>二〇二一年</w:t>
      </w:r>
      <w:r>
        <w:rPr>
          <w:rFonts w:hint="eastAsia"/>
          <w:b/>
          <w:color w:val="auto"/>
          <w:sz w:val="32"/>
          <w:szCs w:val="32"/>
          <w:highlight w:val="none"/>
          <w:lang w:eastAsia="zh-CN"/>
        </w:rPr>
        <w:t>十</w:t>
      </w:r>
      <w:r>
        <w:rPr>
          <w:rFonts w:hint="eastAsia"/>
          <w:b/>
          <w:color w:val="auto"/>
          <w:sz w:val="32"/>
          <w:szCs w:val="32"/>
          <w:highlight w:val="none"/>
        </w:rPr>
        <w:t>月</w:t>
      </w:r>
      <w:r>
        <w:rPr>
          <w:color w:val="auto"/>
          <w:sz w:val="20"/>
          <w:highlight w:val="none"/>
        </w:rPr>
        <w:br w:type="page"/>
      </w:r>
    </w:p>
    <w:p>
      <w:pPr>
        <w:tabs>
          <w:tab w:val="left" w:pos="904"/>
        </w:tabs>
        <w:snapToGrid w:val="0"/>
        <w:spacing w:line="360" w:lineRule="auto"/>
        <w:ind w:right="31"/>
        <w:jc w:val="center"/>
        <w:textAlignment w:val="baseline"/>
        <w:rPr>
          <w:b/>
          <w:color w:val="auto"/>
          <w:sz w:val="24"/>
          <w:szCs w:val="24"/>
          <w:highlight w:val="none"/>
        </w:rPr>
      </w:pPr>
      <w:bookmarkStart w:id="8" w:name="_TOC_250022"/>
      <w:bookmarkEnd w:id="8"/>
      <w:bookmarkStart w:id="9" w:name="_Toc15366"/>
      <w:r>
        <w:rPr>
          <w:rFonts w:hint="eastAsia"/>
          <w:b/>
          <w:color w:val="auto"/>
          <w:sz w:val="24"/>
          <w:szCs w:val="24"/>
          <w:highlight w:val="none"/>
        </w:rPr>
        <w:t>目录</w:t>
      </w:r>
    </w:p>
    <w:p>
      <w:pPr>
        <w:snapToGrid w:val="0"/>
        <w:spacing w:line="360" w:lineRule="auto"/>
        <w:textAlignment w:val="baseline"/>
        <w:rPr>
          <w:b/>
          <w:color w:val="auto"/>
          <w:sz w:val="24"/>
          <w:szCs w:val="24"/>
          <w:highlight w:val="none"/>
        </w:rPr>
      </w:pPr>
    </w:p>
    <w:p>
      <w:pPr>
        <w:pStyle w:val="17"/>
        <w:tabs>
          <w:tab w:val="right" w:leader="dot" w:pos="9500"/>
        </w:tabs>
        <w:snapToGrid w:val="0"/>
        <w:spacing w:line="360" w:lineRule="auto"/>
        <w:textAlignment w:val="baseline"/>
        <w:rPr>
          <w:rFonts w:ascii="宋体" w:hAnsi="宋体" w:eastAsia="宋体" w:cs="宋体"/>
          <w:bCs w:val="0"/>
          <w:color w:val="auto"/>
          <w:highlight w:val="none"/>
        </w:rPr>
      </w:pPr>
      <w:r>
        <w:rPr>
          <w:rFonts w:hint="eastAsia" w:ascii="宋体" w:hAnsi="宋体" w:eastAsia="宋体" w:cs="宋体"/>
          <w:b w:val="0"/>
          <w:bCs w:val="0"/>
          <w:color w:val="auto"/>
          <w:sz w:val="20"/>
          <w:highlight w:val="none"/>
        </w:rPr>
        <w:fldChar w:fldCharType="begin"/>
      </w:r>
      <w:r>
        <w:rPr>
          <w:rFonts w:hint="eastAsia" w:ascii="宋体" w:hAnsi="宋体" w:eastAsia="宋体" w:cs="宋体"/>
          <w:b w:val="0"/>
          <w:bCs w:val="0"/>
          <w:color w:val="auto"/>
          <w:sz w:val="20"/>
          <w:highlight w:val="none"/>
        </w:rPr>
        <w:instrText xml:space="preserve">TOC \o "1-4" \h \u </w:instrText>
      </w:r>
      <w:r>
        <w:rPr>
          <w:rFonts w:hint="eastAsia" w:ascii="宋体" w:hAnsi="宋体" w:eastAsia="宋体" w:cs="宋体"/>
          <w:b w:val="0"/>
          <w:bCs w:val="0"/>
          <w:color w:val="auto"/>
          <w:sz w:val="20"/>
          <w:highlight w:val="none"/>
        </w:rPr>
        <w:fldChar w:fldCharType="separate"/>
      </w:r>
      <w:r>
        <w:rPr>
          <w:color w:val="auto"/>
          <w:highlight w:val="none"/>
        </w:rPr>
        <w:fldChar w:fldCharType="begin"/>
      </w:r>
      <w:r>
        <w:rPr>
          <w:color w:val="auto"/>
          <w:highlight w:val="none"/>
        </w:rPr>
        <w:instrText xml:space="preserve"> HYPERLINK \l "_Toc15366" </w:instrText>
      </w:r>
      <w:r>
        <w:rPr>
          <w:color w:val="auto"/>
          <w:highlight w:val="none"/>
        </w:rPr>
        <w:fldChar w:fldCharType="separate"/>
      </w:r>
      <w:r>
        <w:rPr>
          <w:rFonts w:hint="eastAsia" w:ascii="宋体" w:hAnsi="宋体" w:eastAsia="宋体" w:cs="宋体"/>
          <w:bCs w:val="0"/>
          <w:color w:val="auto"/>
          <w:highlight w:val="none"/>
        </w:rPr>
        <w:t>第一章</w:t>
      </w:r>
      <w:r>
        <w:rPr>
          <w:rFonts w:hint="eastAsia" w:ascii="宋体" w:hAnsi="宋体" w:eastAsia="宋体" w:cs="宋体"/>
          <w:bCs w:val="0"/>
          <w:color w:val="auto"/>
          <w:highlight w:val="none"/>
          <w:lang w:val="en-US"/>
        </w:rPr>
        <w:t xml:space="preserve"> </w:t>
      </w:r>
      <w:r>
        <w:rPr>
          <w:rFonts w:hint="eastAsia" w:ascii="宋体" w:hAnsi="宋体" w:eastAsia="宋体" w:cs="宋体"/>
          <w:bCs w:val="0"/>
          <w:color w:val="auto"/>
          <w:highlight w:val="none"/>
        </w:rPr>
        <w:t>招标公告</w:t>
      </w:r>
      <w:r>
        <w:rPr>
          <w:rFonts w:hint="eastAsia" w:ascii="宋体" w:hAnsi="宋体" w:eastAsia="宋体" w:cs="宋体"/>
          <w:bCs w:val="0"/>
          <w:color w:val="auto"/>
          <w:highlight w:val="none"/>
        </w:rPr>
        <w:tab/>
      </w:r>
      <w:r>
        <w:rPr>
          <w:rFonts w:hint="eastAsia" w:ascii="宋体" w:hAnsi="宋体" w:eastAsia="宋体" w:cs="宋体"/>
          <w:b w:val="0"/>
          <w:bCs w:val="0"/>
          <w:color w:val="auto"/>
          <w:sz w:val="20"/>
          <w:highlight w:val="none"/>
        </w:rPr>
        <w:fldChar w:fldCharType="begin"/>
      </w:r>
      <w:r>
        <w:rPr>
          <w:rFonts w:hint="eastAsia" w:ascii="宋体" w:hAnsi="宋体" w:eastAsia="宋体" w:cs="宋体"/>
          <w:b w:val="0"/>
          <w:bCs w:val="0"/>
          <w:color w:val="auto"/>
          <w:sz w:val="20"/>
          <w:highlight w:val="none"/>
        </w:rPr>
        <w:instrText xml:space="preserve"> PAGEREF _Toc15366 </w:instrText>
      </w:r>
      <w:r>
        <w:rPr>
          <w:rFonts w:hint="eastAsia" w:ascii="宋体" w:hAnsi="宋体" w:eastAsia="宋体" w:cs="宋体"/>
          <w:b w:val="0"/>
          <w:bCs w:val="0"/>
          <w:color w:val="auto"/>
          <w:sz w:val="20"/>
          <w:highlight w:val="none"/>
        </w:rPr>
        <w:fldChar w:fldCharType="separate"/>
      </w:r>
      <w:r>
        <w:rPr>
          <w:rFonts w:hint="eastAsia" w:ascii="宋体" w:hAnsi="宋体" w:eastAsia="宋体" w:cs="宋体"/>
          <w:b w:val="0"/>
          <w:bCs w:val="0"/>
          <w:color w:val="auto"/>
          <w:sz w:val="20"/>
          <w:highlight w:val="none"/>
        </w:rPr>
        <w:t>2</w:t>
      </w:r>
      <w:r>
        <w:rPr>
          <w:rFonts w:hint="eastAsia" w:ascii="宋体" w:hAnsi="宋体" w:eastAsia="宋体" w:cs="宋体"/>
          <w:b w:val="0"/>
          <w:bCs w:val="0"/>
          <w:color w:val="auto"/>
          <w:sz w:val="20"/>
          <w:highlight w:val="none"/>
        </w:rPr>
        <w:fldChar w:fldCharType="end"/>
      </w:r>
      <w:r>
        <w:rPr>
          <w:rFonts w:hint="eastAsia" w:ascii="宋体" w:hAnsi="宋体" w:eastAsia="宋体" w:cs="宋体"/>
          <w:b w:val="0"/>
          <w:bCs w:val="0"/>
          <w:color w:val="auto"/>
          <w:sz w:val="20"/>
          <w:highlight w:val="none"/>
        </w:rPr>
        <w:fldChar w:fldCharType="end"/>
      </w:r>
    </w:p>
    <w:p>
      <w:pPr>
        <w:pStyle w:val="17"/>
        <w:tabs>
          <w:tab w:val="right" w:leader="dot" w:pos="9500"/>
        </w:tabs>
        <w:snapToGrid w:val="0"/>
        <w:spacing w:line="360" w:lineRule="auto"/>
        <w:textAlignment w:val="baseline"/>
        <w:rPr>
          <w:rFonts w:ascii="宋体" w:hAnsi="宋体" w:eastAsia="宋体" w:cs="宋体"/>
          <w:bCs w:val="0"/>
          <w:color w:val="auto"/>
          <w:highlight w:val="none"/>
        </w:rPr>
      </w:pPr>
      <w:r>
        <w:rPr>
          <w:color w:val="auto"/>
          <w:highlight w:val="none"/>
        </w:rPr>
        <w:fldChar w:fldCharType="begin"/>
      </w:r>
      <w:r>
        <w:rPr>
          <w:color w:val="auto"/>
          <w:highlight w:val="none"/>
        </w:rPr>
        <w:instrText xml:space="preserve"> HYPERLINK \l "_Toc1554" </w:instrText>
      </w:r>
      <w:r>
        <w:rPr>
          <w:color w:val="auto"/>
          <w:highlight w:val="none"/>
        </w:rPr>
        <w:fldChar w:fldCharType="separate"/>
      </w:r>
      <w:r>
        <w:rPr>
          <w:rFonts w:hint="eastAsia" w:ascii="宋体" w:hAnsi="宋体" w:eastAsia="宋体" w:cs="宋体"/>
          <w:bCs w:val="0"/>
          <w:color w:val="auto"/>
          <w:highlight w:val="none"/>
          <w:lang w:val="en-US"/>
        </w:rPr>
        <w:t>第二章 投标人须知</w:t>
      </w:r>
      <w:r>
        <w:rPr>
          <w:rFonts w:hint="eastAsia" w:ascii="宋体" w:hAnsi="宋体" w:eastAsia="宋体" w:cs="宋体"/>
          <w:bCs w:val="0"/>
          <w:color w:val="auto"/>
          <w:highlight w:val="none"/>
        </w:rPr>
        <w:tab/>
      </w:r>
      <w:r>
        <w:rPr>
          <w:rFonts w:hint="eastAsia" w:ascii="宋体" w:hAnsi="宋体" w:eastAsia="宋体" w:cs="宋体"/>
          <w:b w:val="0"/>
          <w:bCs w:val="0"/>
          <w:color w:val="auto"/>
          <w:sz w:val="20"/>
          <w:highlight w:val="none"/>
        </w:rPr>
        <w:fldChar w:fldCharType="begin"/>
      </w:r>
      <w:r>
        <w:rPr>
          <w:rFonts w:hint="eastAsia" w:ascii="宋体" w:hAnsi="宋体" w:eastAsia="宋体" w:cs="宋体"/>
          <w:b w:val="0"/>
          <w:bCs w:val="0"/>
          <w:color w:val="auto"/>
          <w:sz w:val="20"/>
          <w:highlight w:val="none"/>
        </w:rPr>
        <w:instrText xml:space="preserve"> PAGEREF _Toc1554 </w:instrText>
      </w:r>
      <w:r>
        <w:rPr>
          <w:rFonts w:hint="eastAsia" w:ascii="宋体" w:hAnsi="宋体" w:eastAsia="宋体" w:cs="宋体"/>
          <w:b w:val="0"/>
          <w:bCs w:val="0"/>
          <w:color w:val="auto"/>
          <w:sz w:val="20"/>
          <w:highlight w:val="none"/>
        </w:rPr>
        <w:fldChar w:fldCharType="separate"/>
      </w:r>
      <w:r>
        <w:rPr>
          <w:rFonts w:hint="eastAsia" w:ascii="宋体" w:hAnsi="宋体" w:eastAsia="宋体" w:cs="宋体"/>
          <w:b w:val="0"/>
          <w:bCs w:val="0"/>
          <w:color w:val="auto"/>
          <w:sz w:val="20"/>
          <w:highlight w:val="none"/>
        </w:rPr>
        <w:t>5</w:t>
      </w:r>
      <w:r>
        <w:rPr>
          <w:rFonts w:hint="eastAsia" w:ascii="宋体" w:hAnsi="宋体" w:eastAsia="宋体" w:cs="宋体"/>
          <w:b w:val="0"/>
          <w:bCs w:val="0"/>
          <w:color w:val="auto"/>
          <w:sz w:val="20"/>
          <w:highlight w:val="none"/>
        </w:rPr>
        <w:fldChar w:fldCharType="end"/>
      </w:r>
      <w:r>
        <w:rPr>
          <w:rFonts w:hint="eastAsia" w:ascii="宋体" w:hAnsi="宋体" w:eastAsia="宋体" w:cs="宋体"/>
          <w:b w:val="0"/>
          <w:bCs w:val="0"/>
          <w:color w:val="auto"/>
          <w:sz w:val="20"/>
          <w:highlight w:val="none"/>
        </w:rPr>
        <w:fldChar w:fldCharType="end"/>
      </w:r>
    </w:p>
    <w:p>
      <w:pPr>
        <w:pStyle w:val="17"/>
        <w:tabs>
          <w:tab w:val="right" w:leader="dot" w:pos="9500"/>
        </w:tabs>
        <w:snapToGrid w:val="0"/>
        <w:spacing w:line="360" w:lineRule="auto"/>
        <w:textAlignment w:val="baseline"/>
        <w:rPr>
          <w:rFonts w:ascii="宋体" w:hAnsi="宋体" w:eastAsia="宋体" w:cs="宋体"/>
          <w:bCs w:val="0"/>
          <w:color w:val="auto"/>
          <w:highlight w:val="none"/>
        </w:rPr>
      </w:pPr>
      <w:r>
        <w:rPr>
          <w:color w:val="auto"/>
          <w:highlight w:val="none"/>
        </w:rPr>
        <w:fldChar w:fldCharType="begin"/>
      </w:r>
      <w:r>
        <w:rPr>
          <w:color w:val="auto"/>
          <w:highlight w:val="none"/>
        </w:rPr>
        <w:instrText xml:space="preserve"> HYPERLINK \l "_Toc20081" </w:instrText>
      </w:r>
      <w:r>
        <w:rPr>
          <w:color w:val="auto"/>
          <w:highlight w:val="none"/>
        </w:rPr>
        <w:fldChar w:fldCharType="separate"/>
      </w:r>
      <w:r>
        <w:rPr>
          <w:rFonts w:hint="eastAsia" w:ascii="宋体" w:hAnsi="宋体" w:eastAsia="宋体" w:cs="宋体"/>
          <w:bCs w:val="0"/>
          <w:color w:val="auto"/>
          <w:highlight w:val="none"/>
        </w:rPr>
        <w:t>第三章</w:t>
      </w:r>
      <w:r>
        <w:rPr>
          <w:rFonts w:hint="eastAsia" w:ascii="宋体" w:hAnsi="宋体" w:eastAsia="宋体" w:cs="宋体"/>
          <w:bCs w:val="0"/>
          <w:color w:val="auto"/>
          <w:highlight w:val="none"/>
          <w:lang w:val="en-US"/>
        </w:rPr>
        <w:t xml:space="preserve"> </w:t>
      </w:r>
      <w:r>
        <w:rPr>
          <w:rFonts w:hint="eastAsia" w:ascii="宋体" w:hAnsi="宋体" w:eastAsia="宋体" w:cs="宋体"/>
          <w:bCs w:val="0"/>
          <w:color w:val="auto"/>
          <w:highlight w:val="none"/>
        </w:rPr>
        <w:t>评标办法</w:t>
      </w:r>
      <w:r>
        <w:rPr>
          <w:rFonts w:hint="eastAsia" w:ascii="宋体" w:hAnsi="宋体" w:eastAsia="宋体" w:cs="宋体"/>
          <w:bCs w:val="0"/>
          <w:color w:val="auto"/>
          <w:highlight w:val="none"/>
        </w:rPr>
        <w:tab/>
      </w:r>
      <w:r>
        <w:rPr>
          <w:rFonts w:hint="eastAsia" w:ascii="宋体" w:hAnsi="宋体" w:eastAsia="宋体" w:cs="宋体"/>
          <w:b w:val="0"/>
          <w:bCs w:val="0"/>
          <w:color w:val="auto"/>
          <w:sz w:val="20"/>
          <w:highlight w:val="none"/>
        </w:rPr>
        <w:fldChar w:fldCharType="begin"/>
      </w:r>
      <w:r>
        <w:rPr>
          <w:rFonts w:hint="eastAsia" w:ascii="宋体" w:hAnsi="宋体" w:eastAsia="宋体" w:cs="宋体"/>
          <w:b w:val="0"/>
          <w:bCs w:val="0"/>
          <w:color w:val="auto"/>
          <w:sz w:val="20"/>
          <w:highlight w:val="none"/>
        </w:rPr>
        <w:instrText xml:space="preserve"> PAGEREF _Toc20081 </w:instrText>
      </w:r>
      <w:r>
        <w:rPr>
          <w:rFonts w:hint="eastAsia" w:ascii="宋体" w:hAnsi="宋体" w:eastAsia="宋体" w:cs="宋体"/>
          <w:b w:val="0"/>
          <w:bCs w:val="0"/>
          <w:color w:val="auto"/>
          <w:sz w:val="20"/>
          <w:highlight w:val="none"/>
        </w:rPr>
        <w:fldChar w:fldCharType="separate"/>
      </w:r>
      <w:r>
        <w:rPr>
          <w:rFonts w:hint="eastAsia" w:ascii="宋体" w:hAnsi="宋体" w:eastAsia="宋体" w:cs="宋体"/>
          <w:b w:val="0"/>
          <w:bCs w:val="0"/>
          <w:color w:val="auto"/>
          <w:sz w:val="20"/>
          <w:highlight w:val="none"/>
        </w:rPr>
        <w:t>15</w:t>
      </w:r>
      <w:r>
        <w:rPr>
          <w:rFonts w:hint="eastAsia" w:ascii="宋体" w:hAnsi="宋体" w:eastAsia="宋体" w:cs="宋体"/>
          <w:b w:val="0"/>
          <w:bCs w:val="0"/>
          <w:color w:val="auto"/>
          <w:sz w:val="20"/>
          <w:highlight w:val="none"/>
        </w:rPr>
        <w:fldChar w:fldCharType="end"/>
      </w:r>
      <w:r>
        <w:rPr>
          <w:rFonts w:hint="eastAsia" w:ascii="宋体" w:hAnsi="宋体" w:eastAsia="宋体" w:cs="宋体"/>
          <w:b w:val="0"/>
          <w:bCs w:val="0"/>
          <w:color w:val="auto"/>
          <w:sz w:val="20"/>
          <w:highlight w:val="none"/>
        </w:rPr>
        <w:fldChar w:fldCharType="end"/>
      </w:r>
    </w:p>
    <w:p>
      <w:pPr>
        <w:pStyle w:val="17"/>
        <w:tabs>
          <w:tab w:val="right" w:leader="dot" w:pos="9500"/>
        </w:tabs>
        <w:snapToGrid w:val="0"/>
        <w:spacing w:line="360" w:lineRule="auto"/>
        <w:textAlignment w:val="baseline"/>
        <w:rPr>
          <w:rFonts w:ascii="宋体" w:hAnsi="宋体" w:eastAsia="宋体" w:cs="宋体"/>
          <w:bCs w:val="0"/>
          <w:color w:val="auto"/>
          <w:highlight w:val="none"/>
        </w:rPr>
      </w:pPr>
      <w:r>
        <w:rPr>
          <w:color w:val="auto"/>
          <w:highlight w:val="none"/>
        </w:rPr>
        <w:fldChar w:fldCharType="begin"/>
      </w:r>
      <w:r>
        <w:rPr>
          <w:color w:val="auto"/>
          <w:highlight w:val="none"/>
        </w:rPr>
        <w:instrText xml:space="preserve"> HYPERLINK \l "_Toc23554" </w:instrText>
      </w:r>
      <w:r>
        <w:rPr>
          <w:color w:val="auto"/>
          <w:highlight w:val="none"/>
        </w:rPr>
        <w:fldChar w:fldCharType="separate"/>
      </w:r>
      <w:r>
        <w:rPr>
          <w:rFonts w:hint="eastAsia" w:ascii="宋体" w:hAnsi="宋体" w:eastAsia="宋体" w:cs="宋体"/>
          <w:bCs w:val="0"/>
          <w:color w:val="auto"/>
          <w:highlight w:val="none"/>
        </w:rPr>
        <w:t>第四章</w:t>
      </w:r>
      <w:r>
        <w:rPr>
          <w:rFonts w:hint="eastAsia" w:ascii="宋体" w:hAnsi="宋体" w:eastAsia="宋体" w:cs="宋体"/>
          <w:bCs w:val="0"/>
          <w:color w:val="auto"/>
          <w:highlight w:val="none"/>
          <w:lang w:val="en-US"/>
        </w:rPr>
        <w:t xml:space="preserve"> </w:t>
      </w:r>
      <w:r>
        <w:rPr>
          <w:rFonts w:hint="eastAsia" w:ascii="宋体" w:hAnsi="宋体" w:eastAsia="宋体" w:cs="宋体"/>
          <w:bCs w:val="0"/>
          <w:color w:val="auto"/>
          <w:highlight w:val="none"/>
        </w:rPr>
        <w:t>合同条款</w:t>
      </w:r>
      <w:r>
        <w:rPr>
          <w:rFonts w:hint="eastAsia" w:ascii="宋体" w:hAnsi="宋体" w:eastAsia="宋体" w:cs="宋体"/>
          <w:bCs w:val="0"/>
          <w:color w:val="auto"/>
          <w:highlight w:val="none"/>
        </w:rPr>
        <w:tab/>
      </w:r>
      <w:r>
        <w:rPr>
          <w:rFonts w:hint="eastAsia" w:ascii="宋体" w:hAnsi="宋体" w:eastAsia="宋体" w:cs="宋体"/>
          <w:b w:val="0"/>
          <w:bCs w:val="0"/>
          <w:color w:val="auto"/>
          <w:sz w:val="20"/>
          <w:highlight w:val="none"/>
        </w:rPr>
        <w:fldChar w:fldCharType="begin"/>
      </w:r>
      <w:r>
        <w:rPr>
          <w:rFonts w:hint="eastAsia" w:ascii="宋体" w:hAnsi="宋体" w:eastAsia="宋体" w:cs="宋体"/>
          <w:b w:val="0"/>
          <w:bCs w:val="0"/>
          <w:color w:val="auto"/>
          <w:sz w:val="20"/>
          <w:highlight w:val="none"/>
        </w:rPr>
        <w:instrText xml:space="preserve"> PAGEREF _Toc23554 </w:instrText>
      </w:r>
      <w:r>
        <w:rPr>
          <w:rFonts w:hint="eastAsia" w:ascii="宋体" w:hAnsi="宋体" w:eastAsia="宋体" w:cs="宋体"/>
          <w:b w:val="0"/>
          <w:bCs w:val="0"/>
          <w:color w:val="auto"/>
          <w:sz w:val="20"/>
          <w:highlight w:val="none"/>
        </w:rPr>
        <w:fldChar w:fldCharType="separate"/>
      </w:r>
      <w:r>
        <w:rPr>
          <w:rFonts w:hint="eastAsia" w:ascii="宋体" w:hAnsi="宋体" w:eastAsia="宋体" w:cs="宋体"/>
          <w:b w:val="0"/>
          <w:bCs w:val="0"/>
          <w:color w:val="auto"/>
          <w:sz w:val="20"/>
          <w:highlight w:val="none"/>
        </w:rPr>
        <w:t>18</w:t>
      </w:r>
      <w:r>
        <w:rPr>
          <w:rFonts w:hint="eastAsia" w:ascii="宋体" w:hAnsi="宋体" w:eastAsia="宋体" w:cs="宋体"/>
          <w:b w:val="0"/>
          <w:bCs w:val="0"/>
          <w:color w:val="auto"/>
          <w:sz w:val="20"/>
          <w:highlight w:val="none"/>
        </w:rPr>
        <w:fldChar w:fldCharType="end"/>
      </w:r>
      <w:r>
        <w:rPr>
          <w:rFonts w:hint="eastAsia" w:ascii="宋体" w:hAnsi="宋体" w:eastAsia="宋体" w:cs="宋体"/>
          <w:b w:val="0"/>
          <w:bCs w:val="0"/>
          <w:color w:val="auto"/>
          <w:sz w:val="20"/>
          <w:highlight w:val="none"/>
        </w:rPr>
        <w:fldChar w:fldCharType="end"/>
      </w:r>
    </w:p>
    <w:p>
      <w:pPr>
        <w:pStyle w:val="17"/>
        <w:tabs>
          <w:tab w:val="right" w:leader="dot" w:pos="9500"/>
        </w:tabs>
        <w:snapToGrid w:val="0"/>
        <w:spacing w:line="360" w:lineRule="auto"/>
        <w:textAlignment w:val="baseline"/>
        <w:rPr>
          <w:rFonts w:ascii="宋体" w:hAnsi="宋体" w:eastAsia="宋体" w:cs="宋体"/>
          <w:bCs w:val="0"/>
          <w:color w:val="auto"/>
          <w:highlight w:val="none"/>
        </w:rPr>
      </w:pPr>
      <w:r>
        <w:rPr>
          <w:color w:val="auto"/>
          <w:highlight w:val="none"/>
        </w:rPr>
        <w:fldChar w:fldCharType="begin"/>
      </w:r>
      <w:r>
        <w:rPr>
          <w:color w:val="auto"/>
          <w:highlight w:val="none"/>
        </w:rPr>
        <w:instrText xml:space="preserve"> HYPERLINK \l "_Toc22978" </w:instrText>
      </w:r>
      <w:r>
        <w:rPr>
          <w:color w:val="auto"/>
          <w:highlight w:val="none"/>
        </w:rPr>
        <w:fldChar w:fldCharType="separate"/>
      </w:r>
      <w:r>
        <w:rPr>
          <w:rFonts w:hint="eastAsia" w:ascii="宋体" w:hAnsi="宋体" w:eastAsia="宋体" w:cs="宋体"/>
          <w:bCs w:val="0"/>
          <w:color w:val="auto"/>
          <w:highlight w:val="none"/>
        </w:rPr>
        <w:t>第五章</w:t>
      </w:r>
      <w:r>
        <w:rPr>
          <w:rFonts w:hint="eastAsia" w:ascii="宋体" w:hAnsi="宋体" w:eastAsia="宋体" w:cs="宋体"/>
          <w:bCs w:val="0"/>
          <w:color w:val="auto"/>
          <w:highlight w:val="none"/>
          <w:lang w:val="en-US"/>
        </w:rPr>
        <w:t xml:space="preserve"> </w:t>
      </w:r>
      <w:r>
        <w:rPr>
          <w:rFonts w:hint="eastAsia" w:ascii="宋体" w:hAnsi="宋体" w:eastAsia="宋体" w:cs="宋体"/>
          <w:bCs w:val="0"/>
          <w:color w:val="auto"/>
          <w:highlight w:val="none"/>
        </w:rPr>
        <w:t>技术要求及说明</w:t>
      </w:r>
      <w:r>
        <w:rPr>
          <w:rFonts w:hint="eastAsia" w:ascii="宋体" w:hAnsi="宋体" w:eastAsia="宋体" w:cs="宋体"/>
          <w:bCs w:val="0"/>
          <w:color w:val="auto"/>
          <w:highlight w:val="none"/>
        </w:rPr>
        <w:tab/>
      </w:r>
      <w:r>
        <w:rPr>
          <w:rFonts w:hint="eastAsia" w:ascii="宋体" w:hAnsi="宋体" w:eastAsia="宋体" w:cs="宋体"/>
          <w:b w:val="0"/>
          <w:bCs w:val="0"/>
          <w:color w:val="auto"/>
          <w:sz w:val="20"/>
          <w:highlight w:val="none"/>
        </w:rPr>
        <w:fldChar w:fldCharType="begin"/>
      </w:r>
      <w:r>
        <w:rPr>
          <w:rFonts w:hint="eastAsia" w:ascii="宋体" w:hAnsi="宋体" w:eastAsia="宋体" w:cs="宋体"/>
          <w:b w:val="0"/>
          <w:bCs w:val="0"/>
          <w:color w:val="auto"/>
          <w:sz w:val="20"/>
          <w:highlight w:val="none"/>
        </w:rPr>
        <w:instrText xml:space="preserve"> PAGEREF _Toc22978 </w:instrText>
      </w:r>
      <w:r>
        <w:rPr>
          <w:rFonts w:hint="eastAsia" w:ascii="宋体" w:hAnsi="宋体" w:eastAsia="宋体" w:cs="宋体"/>
          <w:b w:val="0"/>
          <w:bCs w:val="0"/>
          <w:color w:val="auto"/>
          <w:sz w:val="20"/>
          <w:highlight w:val="none"/>
        </w:rPr>
        <w:fldChar w:fldCharType="separate"/>
      </w:r>
      <w:r>
        <w:rPr>
          <w:rFonts w:hint="eastAsia" w:ascii="宋体" w:hAnsi="宋体" w:eastAsia="宋体" w:cs="宋体"/>
          <w:b w:val="0"/>
          <w:bCs w:val="0"/>
          <w:color w:val="auto"/>
          <w:sz w:val="20"/>
          <w:highlight w:val="none"/>
        </w:rPr>
        <w:t>21</w:t>
      </w:r>
      <w:r>
        <w:rPr>
          <w:rFonts w:hint="eastAsia" w:ascii="宋体" w:hAnsi="宋体" w:eastAsia="宋体" w:cs="宋体"/>
          <w:b w:val="0"/>
          <w:bCs w:val="0"/>
          <w:color w:val="auto"/>
          <w:sz w:val="20"/>
          <w:highlight w:val="none"/>
        </w:rPr>
        <w:fldChar w:fldCharType="end"/>
      </w:r>
      <w:r>
        <w:rPr>
          <w:rFonts w:hint="eastAsia" w:ascii="宋体" w:hAnsi="宋体" w:eastAsia="宋体" w:cs="宋体"/>
          <w:b w:val="0"/>
          <w:bCs w:val="0"/>
          <w:color w:val="auto"/>
          <w:sz w:val="20"/>
          <w:highlight w:val="none"/>
        </w:rPr>
        <w:fldChar w:fldCharType="end"/>
      </w:r>
    </w:p>
    <w:p>
      <w:pPr>
        <w:pStyle w:val="17"/>
        <w:tabs>
          <w:tab w:val="right" w:leader="dot" w:pos="9500"/>
        </w:tabs>
        <w:snapToGrid w:val="0"/>
        <w:spacing w:line="360" w:lineRule="auto"/>
        <w:textAlignment w:val="baseline"/>
        <w:rPr>
          <w:rFonts w:ascii="宋体" w:hAnsi="宋体" w:eastAsia="宋体" w:cs="宋体"/>
          <w:bCs w:val="0"/>
          <w:color w:val="auto"/>
          <w:highlight w:val="none"/>
        </w:rPr>
      </w:pPr>
      <w:r>
        <w:rPr>
          <w:color w:val="auto"/>
          <w:highlight w:val="none"/>
        </w:rPr>
        <w:fldChar w:fldCharType="begin"/>
      </w:r>
      <w:r>
        <w:rPr>
          <w:color w:val="auto"/>
          <w:highlight w:val="none"/>
        </w:rPr>
        <w:instrText xml:space="preserve"> HYPERLINK \l "_Toc14943" </w:instrText>
      </w:r>
      <w:r>
        <w:rPr>
          <w:color w:val="auto"/>
          <w:highlight w:val="none"/>
        </w:rPr>
        <w:fldChar w:fldCharType="separate"/>
      </w:r>
      <w:r>
        <w:rPr>
          <w:rFonts w:hint="eastAsia" w:ascii="宋体" w:hAnsi="宋体" w:eastAsia="宋体" w:cs="宋体"/>
          <w:bCs w:val="0"/>
          <w:color w:val="auto"/>
          <w:highlight w:val="none"/>
        </w:rPr>
        <w:t>第六章 投标文件格式</w:t>
      </w:r>
      <w:r>
        <w:rPr>
          <w:rFonts w:hint="eastAsia" w:ascii="宋体" w:hAnsi="宋体" w:eastAsia="宋体" w:cs="宋体"/>
          <w:bCs w:val="0"/>
          <w:color w:val="auto"/>
          <w:highlight w:val="none"/>
        </w:rPr>
        <w:tab/>
      </w:r>
      <w:r>
        <w:rPr>
          <w:rFonts w:hint="eastAsia" w:ascii="宋体" w:hAnsi="宋体" w:eastAsia="宋体" w:cs="宋体"/>
          <w:b w:val="0"/>
          <w:bCs w:val="0"/>
          <w:color w:val="auto"/>
          <w:sz w:val="20"/>
          <w:highlight w:val="none"/>
        </w:rPr>
        <w:fldChar w:fldCharType="begin"/>
      </w:r>
      <w:r>
        <w:rPr>
          <w:rFonts w:hint="eastAsia" w:ascii="宋体" w:hAnsi="宋体" w:eastAsia="宋体" w:cs="宋体"/>
          <w:b w:val="0"/>
          <w:bCs w:val="0"/>
          <w:color w:val="auto"/>
          <w:sz w:val="20"/>
          <w:highlight w:val="none"/>
        </w:rPr>
        <w:instrText xml:space="preserve"> PAGEREF _Toc14943 </w:instrText>
      </w:r>
      <w:r>
        <w:rPr>
          <w:rFonts w:hint="eastAsia" w:ascii="宋体" w:hAnsi="宋体" w:eastAsia="宋体" w:cs="宋体"/>
          <w:b w:val="0"/>
          <w:bCs w:val="0"/>
          <w:color w:val="auto"/>
          <w:sz w:val="20"/>
          <w:highlight w:val="none"/>
        </w:rPr>
        <w:fldChar w:fldCharType="separate"/>
      </w:r>
      <w:r>
        <w:rPr>
          <w:rFonts w:hint="eastAsia" w:ascii="宋体" w:hAnsi="宋体" w:eastAsia="宋体" w:cs="宋体"/>
          <w:b w:val="0"/>
          <w:bCs w:val="0"/>
          <w:color w:val="auto"/>
          <w:sz w:val="20"/>
          <w:highlight w:val="none"/>
        </w:rPr>
        <w:t>26</w:t>
      </w:r>
      <w:r>
        <w:rPr>
          <w:rFonts w:hint="eastAsia" w:ascii="宋体" w:hAnsi="宋体" w:eastAsia="宋体" w:cs="宋体"/>
          <w:b w:val="0"/>
          <w:bCs w:val="0"/>
          <w:color w:val="auto"/>
          <w:sz w:val="20"/>
          <w:highlight w:val="none"/>
        </w:rPr>
        <w:fldChar w:fldCharType="end"/>
      </w:r>
      <w:r>
        <w:rPr>
          <w:rFonts w:hint="eastAsia" w:ascii="宋体" w:hAnsi="宋体" w:eastAsia="宋体" w:cs="宋体"/>
          <w:b w:val="0"/>
          <w:bCs w:val="0"/>
          <w:color w:val="auto"/>
          <w:sz w:val="20"/>
          <w:highlight w:val="none"/>
        </w:rPr>
        <w:fldChar w:fldCharType="end"/>
      </w:r>
    </w:p>
    <w:p>
      <w:pPr>
        <w:snapToGrid w:val="0"/>
        <w:textAlignment w:val="baseline"/>
        <w:rPr>
          <w:rFonts w:ascii="黑体" w:hAnsi="黑体" w:eastAsia="黑体" w:cs="黑体"/>
          <w:color w:val="auto"/>
          <w:sz w:val="20"/>
          <w:highlight w:val="none"/>
        </w:rPr>
      </w:pPr>
      <w:r>
        <w:rPr>
          <w:rFonts w:hint="eastAsia"/>
          <w:color w:val="auto"/>
          <w:sz w:val="20"/>
          <w:szCs w:val="24"/>
          <w:highlight w:val="none"/>
        </w:rPr>
        <w:fldChar w:fldCharType="end"/>
      </w:r>
    </w:p>
    <w:p>
      <w:pPr>
        <w:snapToGrid w:val="0"/>
        <w:textAlignment w:val="baseline"/>
        <w:rPr>
          <w:rFonts w:ascii="黑体" w:hAnsi="黑体" w:eastAsia="黑体" w:cs="黑体"/>
          <w:color w:val="auto"/>
          <w:sz w:val="20"/>
          <w:highlight w:val="none"/>
        </w:rPr>
      </w:pPr>
      <w:r>
        <w:rPr>
          <w:color w:val="auto"/>
          <w:sz w:val="20"/>
          <w:highlight w:val="none"/>
        </w:rPr>
        <w:br w:type="page"/>
      </w:r>
    </w:p>
    <w:p>
      <w:pPr>
        <w:pStyle w:val="2"/>
        <w:tabs>
          <w:tab w:val="left" w:pos="1286"/>
        </w:tabs>
        <w:snapToGrid w:val="0"/>
        <w:spacing w:before="21" w:line="240" w:lineRule="auto"/>
        <w:textAlignment w:val="baseline"/>
        <w:rPr>
          <w:rFonts w:ascii="黑体" w:hAnsi="黑体" w:eastAsia="黑体" w:cs="黑体"/>
          <w:color w:val="auto"/>
          <w:highlight w:val="none"/>
        </w:rPr>
      </w:pPr>
      <w:r>
        <w:rPr>
          <w:rFonts w:hint="eastAsia" w:ascii="黑体" w:hAnsi="黑体" w:eastAsia="黑体" w:cs="黑体"/>
          <w:color w:val="auto"/>
          <w:highlight w:val="none"/>
        </w:rPr>
        <w:t>第一章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招标公告</w:t>
      </w:r>
      <w:bookmarkEnd w:id="9"/>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招标条件</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u w:val="single"/>
        </w:rPr>
        <w:t>湖北城发设计咨询集团有限公司</w:t>
      </w:r>
      <w:r>
        <w:rPr>
          <w:rFonts w:hint="eastAsia"/>
          <w:color w:val="auto"/>
          <w:sz w:val="24"/>
          <w:szCs w:val="24"/>
          <w:highlight w:val="none"/>
        </w:rPr>
        <w:t>受</w:t>
      </w:r>
      <w:r>
        <w:rPr>
          <w:rFonts w:hint="eastAsia"/>
          <w:color w:val="auto"/>
          <w:sz w:val="24"/>
          <w:szCs w:val="24"/>
          <w:highlight w:val="none"/>
          <w:u w:val="single"/>
        </w:rPr>
        <w:t>黄石市二医院有限公司</w:t>
      </w:r>
      <w:r>
        <w:rPr>
          <w:rFonts w:hint="eastAsia"/>
          <w:color w:val="auto"/>
          <w:sz w:val="24"/>
          <w:szCs w:val="24"/>
          <w:highlight w:val="none"/>
        </w:rPr>
        <w:t>的委托，拟对</w:t>
      </w:r>
      <w:r>
        <w:rPr>
          <w:rFonts w:hint="eastAsia"/>
          <w:color w:val="auto"/>
          <w:sz w:val="24"/>
          <w:szCs w:val="24"/>
          <w:highlight w:val="none"/>
          <w:u w:val="single"/>
        </w:rPr>
        <w:t>黄石市二医院</w:t>
      </w:r>
      <w:r>
        <w:rPr>
          <w:rFonts w:hint="eastAsia"/>
          <w:color w:val="auto"/>
          <w:sz w:val="24"/>
          <w:szCs w:val="24"/>
          <w:highlight w:val="none"/>
          <w:u w:val="single"/>
          <w:lang w:eastAsia="zh-CN"/>
        </w:rPr>
        <w:t>高低压配电房至冷水机组密集型母线槽</w:t>
      </w:r>
      <w:r>
        <w:rPr>
          <w:rFonts w:hint="eastAsia"/>
          <w:color w:val="auto"/>
          <w:sz w:val="24"/>
          <w:szCs w:val="24"/>
          <w:highlight w:val="none"/>
          <w:u w:val="single"/>
        </w:rPr>
        <w:t>采购及安装项目</w:t>
      </w:r>
      <w:r>
        <w:rPr>
          <w:rFonts w:hint="eastAsia"/>
          <w:color w:val="auto"/>
          <w:sz w:val="24"/>
          <w:szCs w:val="24"/>
          <w:highlight w:val="none"/>
        </w:rPr>
        <w:t>进行集团平台公开招标，欢迎符合资格条件的</w:t>
      </w:r>
      <w:r>
        <w:rPr>
          <w:rFonts w:hint="eastAsia"/>
          <w:color w:val="auto"/>
          <w:sz w:val="24"/>
          <w:szCs w:val="24"/>
          <w:highlight w:val="none"/>
          <w:lang w:val="en-US"/>
        </w:rPr>
        <w:t>投标人</w:t>
      </w:r>
      <w:r>
        <w:rPr>
          <w:rFonts w:hint="eastAsia"/>
          <w:color w:val="auto"/>
          <w:sz w:val="24"/>
          <w:szCs w:val="24"/>
          <w:highlight w:val="none"/>
        </w:rPr>
        <w:t>参加投标。</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项目概况</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项目编号</w:t>
      </w:r>
      <w:r>
        <w:rPr>
          <w:rFonts w:hint="eastAsia"/>
          <w:b/>
          <w:color w:val="auto"/>
          <w:sz w:val="24"/>
          <w:szCs w:val="24"/>
          <w:highlight w:val="none"/>
        </w:rPr>
        <w:t>：</w:t>
      </w:r>
      <w:r>
        <w:rPr>
          <w:rFonts w:hint="eastAsia"/>
          <w:color w:val="auto"/>
          <w:sz w:val="24"/>
          <w:szCs w:val="24"/>
          <w:highlight w:val="none"/>
        </w:rPr>
        <w:t>CFSJZXJT2021-</w:t>
      </w:r>
      <w:r>
        <w:rPr>
          <w:rFonts w:hint="eastAsia"/>
          <w:color w:val="auto"/>
          <w:sz w:val="24"/>
          <w:szCs w:val="24"/>
          <w:highlight w:val="none"/>
          <w:lang w:val="en-US" w:eastAsia="zh-CN"/>
        </w:rPr>
        <w:t>143</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项目名称：黄石市二医院</w:t>
      </w:r>
      <w:r>
        <w:rPr>
          <w:rFonts w:hint="eastAsia"/>
          <w:color w:val="auto"/>
          <w:sz w:val="24"/>
          <w:szCs w:val="24"/>
          <w:highlight w:val="none"/>
          <w:lang w:eastAsia="zh-CN"/>
        </w:rPr>
        <w:t>高低压配电房至冷水机组密集型母线槽</w:t>
      </w:r>
      <w:r>
        <w:rPr>
          <w:rFonts w:hint="eastAsia"/>
          <w:color w:val="auto"/>
          <w:sz w:val="24"/>
          <w:szCs w:val="24"/>
          <w:highlight w:val="none"/>
        </w:rPr>
        <w:t>采购及安装项目</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招标内容：</w:t>
      </w:r>
      <w:r>
        <w:rPr>
          <w:rFonts w:hint="eastAsia"/>
          <w:color w:val="auto"/>
          <w:sz w:val="24"/>
          <w:szCs w:val="24"/>
          <w:highlight w:val="none"/>
          <w:lang w:eastAsia="zh-CN"/>
        </w:rPr>
        <w:t>高低压配电房至冷水机组密集型母线槽采购</w:t>
      </w:r>
      <w:r>
        <w:rPr>
          <w:rFonts w:hint="eastAsia"/>
          <w:color w:val="auto"/>
          <w:sz w:val="24"/>
          <w:szCs w:val="24"/>
          <w:highlight w:val="none"/>
        </w:rPr>
        <w:t>及安装、验收、保养等，采购清单详见“第五章、技术要求及说明”。</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项目预算：约</w:t>
      </w:r>
      <w:r>
        <w:rPr>
          <w:rFonts w:hint="eastAsia"/>
          <w:color w:val="auto"/>
          <w:sz w:val="24"/>
          <w:szCs w:val="24"/>
          <w:highlight w:val="none"/>
          <w:lang w:val="en-US" w:eastAsia="zh-CN"/>
        </w:rPr>
        <w:t>97万元</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计划工期：</w:t>
      </w:r>
      <w:r>
        <w:rPr>
          <w:rFonts w:hint="eastAsia"/>
          <w:color w:val="auto"/>
          <w:sz w:val="24"/>
          <w:szCs w:val="24"/>
          <w:highlight w:val="none"/>
          <w:lang w:val="en-US" w:eastAsia="zh-CN"/>
        </w:rPr>
        <w:t>30天内</w:t>
      </w:r>
      <w:r>
        <w:rPr>
          <w:rFonts w:hint="eastAsia"/>
          <w:color w:val="auto"/>
          <w:sz w:val="24"/>
          <w:szCs w:val="24"/>
          <w:highlight w:val="none"/>
        </w:rPr>
        <w:t>（自合同签订之日起）。</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质量标准：</w:t>
      </w:r>
      <w:r>
        <w:rPr>
          <w:rFonts w:hint="eastAsia"/>
          <w:color w:val="auto"/>
          <w:sz w:val="24"/>
          <w:szCs w:val="24"/>
          <w:highlight w:val="none"/>
          <w:lang w:val="en-US"/>
        </w:rPr>
        <w:t>符合设计要求，符合国家现行验收规范合格标准。</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投标人资格、产品质量及服务要求</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投标人必须在中华人民共和国境内注册，具有有效的法人营业执照、税务登记证、组织机构代码证（或三证合一）。</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eastAsia="zh-CN"/>
        </w:rPr>
        <w:t>投标人所投产品须为全新合格产品，提供产品</w:t>
      </w:r>
      <w:r>
        <w:rPr>
          <w:rFonts w:hint="eastAsia"/>
          <w:color w:val="auto"/>
          <w:sz w:val="24"/>
          <w:szCs w:val="24"/>
          <w:highlight w:val="none"/>
          <w:lang w:val="en-US" w:eastAsia="zh-CN"/>
        </w:rPr>
        <w:t>3C认证</w:t>
      </w:r>
      <w:r>
        <w:rPr>
          <w:rFonts w:hint="eastAsia"/>
          <w:color w:val="auto"/>
          <w:sz w:val="24"/>
          <w:szCs w:val="24"/>
          <w:highlight w:val="none"/>
          <w:lang w:eastAsia="zh-CN"/>
        </w:rPr>
        <w:t>或产品检验报告。</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eastAsia="zh-CN"/>
        </w:rPr>
        <w:t>近三年(2018年1月)至少完成过</w:t>
      </w:r>
      <w:r>
        <w:rPr>
          <w:rFonts w:hint="eastAsia"/>
          <w:color w:val="auto"/>
          <w:sz w:val="24"/>
          <w:szCs w:val="24"/>
          <w:highlight w:val="none"/>
          <w:lang w:val="en-US"/>
        </w:rPr>
        <w:t>1项单项合同金额在</w:t>
      </w:r>
      <w:r>
        <w:rPr>
          <w:rFonts w:hint="eastAsia"/>
          <w:color w:val="auto"/>
          <w:sz w:val="24"/>
          <w:szCs w:val="24"/>
          <w:highlight w:val="none"/>
          <w:lang w:val="en-US" w:eastAsia="zh-CN"/>
        </w:rPr>
        <w:t>90</w:t>
      </w:r>
      <w:r>
        <w:rPr>
          <w:rFonts w:hint="eastAsia"/>
          <w:color w:val="auto"/>
          <w:sz w:val="24"/>
          <w:szCs w:val="24"/>
          <w:highlight w:val="none"/>
          <w:lang w:val="en-US"/>
        </w:rPr>
        <w:t>万元及以上的</w:t>
      </w:r>
      <w:r>
        <w:rPr>
          <w:rFonts w:hint="eastAsia"/>
          <w:color w:val="auto"/>
          <w:sz w:val="24"/>
          <w:szCs w:val="24"/>
          <w:highlight w:val="none"/>
          <w:lang w:eastAsia="zh-CN"/>
        </w:rPr>
        <w:t>密集型母线槽销售</w:t>
      </w:r>
      <w:r>
        <w:rPr>
          <w:rFonts w:hint="eastAsia"/>
          <w:color w:val="auto"/>
          <w:sz w:val="24"/>
          <w:szCs w:val="24"/>
          <w:highlight w:val="none"/>
        </w:rPr>
        <w:t>及安装</w:t>
      </w:r>
      <w:r>
        <w:rPr>
          <w:rFonts w:hint="eastAsia"/>
          <w:color w:val="auto"/>
          <w:sz w:val="24"/>
          <w:szCs w:val="24"/>
          <w:highlight w:val="none"/>
          <w:lang w:val="en-US"/>
        </w:rPr>
        <w:t>项目业绩</w:t>
      </w:r>
      <w:r>
        <w:rPr>
          <w:rFonts w:hint="eastAsia"/>
          <w:color w:val="auto"/>
          <w:sz w:val="24"/>
          <w:szCs w:val="24"/>
          <w:highlight w:val="none"/>
          <w:lang w:val="en-US" w:eastAsia="zh-CN"/>
        </w:rPr>
        <w:t>，提供销售合同或销售发票</w:t>
      </w:r>
      <w:r>
        <w:rPr>
          <w:rFonts w:hint="eastAsia"/>
          <w:color w:val="auto"/>
          <w:sz w:val="24"/>
          <w:szCs w:val="24"/>
          <w:highlight w:val="none"/>
          <w:lang w:val="en-US"/>
        </w:rPr>
        <w:t>。</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根据《关于在招标投标活动中对失信被执行人实施联合惩戒的通知》([2016]285 号)规定，投标人须通过“信用中国”对本企业进行信用查询，若在“失信被执行人”名单中的，其投标无效，查询结果以当天在“信用中国”网站查询结果为准。</w:t>
      </w:r>
    </w:p>
    <w:p>
      <w:pPr>
        <w:pStyle w:val="42"/>
        <w:snapToGrid w:val="0"/>
        <w:spacing w:line="460" w:lineRule="exact"/>
        <w:ind w:left="0" w:firstLine="480" w:firstLineChars="200"/>
        <w:jc w:val="both"/>
        <w:textAlignment w:val="baseline"/>
        <w:rPr>
          <w:color w:val="auto"/>
          <w:sz w:val="24"/>
          <w:szCs w:val="24"/>
          <w:highlight w:val="none"/>
          <w:lang w:val="en-US"/>
        </w:rPr>
      </w:pPr>
      <w:r>
        <w:rPr>
          <w:rFonts w:hint="eastAsia"/>
          <w:color w:val="auto"/>
          <w:sz w:val="24"/>
          <w:szCs w:val="24"/>
          <w:highlight w:val="none"/>
          <w:lang w:val="en-US"/>
        </w:rPr>
        <w:t>3.4</w:t>
      </w:r>
      <w:r>
        <w:rPr>
          <w:rFonts w:hint="eastAsia"/>
          <w:color w:val="auto"/>
          <w:sz w:val="24"/>
          <w:szCs w:val="24"/>
          <w:highlight w:val="none"/>
        </w:rPr>
        <w:t>投标人必须在“中国裁判文书网”查询本单位及法定代表人近三年(查询时间段2018年</w:t>
      </w:r>
      <w:r>
        <w:rPr>
          <w:rFonts w:hint="eastAsia"/>
          <w:color w:val="auto"/>
          <w:sz w:val="24"/>
          <w:szCs w:val="24"/>
          <w:highlight w:val="none"/>
          <w:lang w:val="en-US"/>
        </w:rPr>
        <w:t>1月</w:t>
      </w:r>
      <w:r>
        <w:rPr>
          <w:rFonts w:hint="eastAsia"/>
          <w:color w:val="auto"/>
          <w:sz w:val="24"/>
          <w:szCs w:val="24"/>
          <w:highlight w:val="none"/>
        </w:rPr>
        <w:t>至投标截止日)是否有行贿犯罪记录并提供截图，未提供的或有行贿犯罪记录的投标无效，取消其投标资格。</w:t>
      </w:r>
    </w:p>
    <w:p>
      <w:pPr>
        <w:pStyle w:val="42"/>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3.5是否接受</w:t>
      </w:r>
      <w:r>
        <w:rPr>
          <w:rFonts w:hint="eastAsia"/>
          <w:color w:val="auto"/>
          <w:sz w:val="24"/>
          <w:szCs w:val="24"/>
          <w:highlight w:val="none"/>
        </w:rPr>
        <w:t>联合体投标：</w:t>
      </w:r>
      <w:r>
        <w:rPr>
          <w:rFonts w:hint="eastAsia"/>
          <w:color w:val="auto"/>
          <w:sz w:val="24"/>
          <w:szCs w:val="24"/>
          <w:highlight w:val="none"/>
          <w:lang w:val="en-US"/>
        </w:rPr>
        <w:t>否</w:t>
      </w:r>
      <w:r>
        <w:rPr>
          <w:rFonts w:hint="eastAsia"/>
          <w:color w:val="auto"/>
          <w:sz w:val="24"/>
          <w:szCs w:val="24"/>
          <w:highlight w:val="none"/>
        </w:rPr>
        <w:t>。</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资格审查方式</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资格后审。</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招标文件的获取及投标报名</w:t>
      </w:r>
    </w:p>
    <w:p>
      <w:pPr>
        <w:spacing w:line="540" w:lineRule="exact"/>
        <w:ind w:firstLine="480" w:firstLineChars="200"/>
        <w:rPr>
          <w:color w:val="auto"/>
          <w:sz w:val="24"/>
          <w:szCs w:val="24"/>
          <w:highlight w:val="none"/>
          <w:lang w:val="en-US"/>
        </w:rPr>
      </w:pPr>
      <w:r>
        <w:rPr>
          <w:rFonts w:hint="eastAsia"/>
          <w:color w:val="auto"/>
          <w:sz w:val="24"/>
          <w:szCs w:val="24"/>
          <w:highlight w:val="none"/>
          <w:lang w:val="en-US"/>
        </w:rPr>
        <w:t>5</w:t>
      </w:r>
      <w:r>
        <w:rPr>
          <w:rFonts w:hint="eastAsia"/>
          <w:color w:val="auto"/>
          <w:sz w:val="24"/>
          <w:szCs w:val="24"/>
          <w:highlight w:val="none"/>
        </w:rPr>
        <w:t>.1招标文件获取截止时间：公告发布之日起至</w:t>
      </w:r>
      <w:r>
        <w:rPr>
          <w:rFonts w:hint="eastAsia"/>
          <w:color w:val="auto"/>
          <w:sz w:val="24"/>
          <w:szCs w:val="24"/>
          <w:highlight w:val="none"/>
          <w:lang w:val="en-US"/>
        </w:rPr>
        <w:t>2021年</w:t>
      </w:r>
      <w:r>
        <w:rPr>
          <w:rFonts w:hint="eastAsia"/>
          <w:color w:val="auto"/>
          <w:sz w:val="24"/>
          <w:szCs w:val="24"/>
          <w:highlight w:val="none"/>
          <w:u w:val="single"/>
          <w:lang w:val="en-US" w:eastAsia="zh-CN"/>
        </w:rPr>
        <w:t>10</w:t>
      </w:r>
      <w:r>
        <w:rPr>
          <w:rFonts w:hint="eastAsia"/>
          <w:color w:val="auto"/>
          <w:sz w:val="24"/>
          <w:szCs w:val="24"/>
          <w:highlight w:val="none"/>
          <w:lang w:val="en-US"/>
        </w:rPr>
        <w:t>月</w:t>
      </w:r>
      <w:r>
        <w:rPr>
          <w:rFonts w:hint="eastAsia"/>
          <w:color w:val="auto"/>
          <w:sz w:val="24"/>
          <w:szCs w:val="24"/>
          <w:highlight w:val="none"/>
          <w:u w:val="single"/>
          <w:lang w:val="en-US" w:eastAsia="zh-CN"/>
        </w:rPr>
        <w:t>31</w:t>
      </w:r>
      <w:r>
        <w:rPr>
          <w:rFonts w:hint="eastAsia"/>
          <w:color w:val="auto"/>
          <w:sz w:val="24"/>
          <w:szCs w:val="24"/>
          <w:highlight w:val="none"/>
          <w:lang w:val="en-US"/>
        </w:rPr>
        <w:t>日16时整。</w:t>
      </w:r>
    </w:p>
    <w:p>
      <w:pPr>
        <w:spacing w:line="540" w:lineRule="exact"/>
        <w:ind w:firstLine="480" w:firstLineChars="200"/>
        <w:jc w:val="both"/>
        <w:rPr>
          <w:color w:val="auto"/>
          <w:sz w:val="24"/>
          <w:szCs w:val="24"/>
          <w:highlight w:val="none"/>
        </w:rPr>
      </w:pPr>
      <w:r>
        <w:rPr>
          <w:rFonts w:hint="eastAsia"/>
          <w:color w:val="auto"/>
          <w:sz w:val="24"/>
          <w:szCs w:val="24"/>
          <w:highlight w:val="none"/>
          <w:lang w:val="en-US"/>
        </w:rPr>
        <w:t>5.2招标文件</w:t>
      </w:r>
      <w:r>
        <w:rPr>
          <w:rFonts w:hint="eastAsia"/>
          <w:color w:val="auto"/>
          <w:sz w:val="24"/>
          <w:szCs w:val="24"/>
          <w:highlight w:val="none"/>
        </w:rPr>
        <w:t>获取方式：通过黄石市城市发展投资集团有限公司门户网站下载招标文件</w:t>
      </w:r>
      <w:r>
        <w:rPr>
          <w:rFonts w:hint="eastAsia"/>
          <w:color w:val="auto"/>
          <w:sz w:val="24"/>
          <w:szCs w:val="24"/>
          <w:highlight w:val="none"/>
          <w:lang w:eastAsia="zh-CN"/>
        </w:rPr>
        <w:t>及报名表，报名表发送指定邮箱</w:t>
      </w:r>
      <w:r>
        <w:rPr>
          <w:rFonts w:hint="eastAsia"/>
          <w:color w:val="auto"/>
          <w:sz w:val="24"/>
          <w:szCs w:val="24"/>
          <w:highlight w:val="none"/>
        </w:rPr>
        <w:t xml:space="preserve">。 </w:t>
      </w:r>
    </w:p>
    <w:p>
      <w:pPr>
        <w:spacing w:line="540" w:lineRule="exact"/>
        <w:ind w:firstLine="480" w:firstLineChars="200"/>
        <w:rPr>
          <w:color w:val="auto"/>
          <w:sz w:val="24"/>
          <w:szCs w:val="24"/>
          <w:highlight w:val="none"/>
        </w:rPr>
      </w:pPr>
      <w:r>
        <w:rPr>
          <w:rFonts w:hint="eastAsia"/>
          <w:color w:val="auto"/>
          <w:sz w:val="24"/>
          <w:szCs w:val="24"/>
          <w:highlight w:val="none"/>
          <w:lang w:val="en-US"/>
        </w:rPr>
        <w:t>5</w:t>
      </w: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若招标时间、地点以及招标项目其它相关内容发生变更，将在</w:t>
      </w:r>
      <w:r>
        <w:rPr>
          <w:color w:val="auto"/>
          <w:highlight w:val="none"/>
        </w:rPr>
        <w:fldChar w:fldCharType="begin"/>
      </w:r>
      <w:r>
        <w:rPr>
          <w:color w:val="auto"/>
          <w:highlight w:val="none"/>
        </w:rPr>
        <w:instrText xml:space="preserve"> HYPERLINK "http://www.so.com/link?m=a%2Bx3lPYcFpfHFqW4%2FIAnpP%2FiyllX4icmMujBzJZOCGXGUyCzJpSkHfp7ZE1QITR7%2B0jf9rABc4o5voYxxKk7Q1iNxM%2Bu8S4AiKh%2BunrJx1LHcTJHRPAmm9TwqwwnzLpVKWRuZ%2F9t6H9pueVQDkZsD1XQE1jM%3D" </w:instrText>
      </w:r>
      <w:r>
        <w:rPr>
          <w:color w:val="auto"/>
          <w:highlight w:val="none"/>
        </w:rPr>
        <w:fldChar w:fldCharType="separate"/>
      </w:r>
      <w:r>
        <w:rPr>
          <w:rFonts w:hint="eastAsia"/>
          <w:color w:val="auto"/>
          <w:sz w:val="24"/>
          <w:szCs w:val="24"/>
          <w:highlight w:val="none"/>
        </w:rPr>
        <w:t>黄石市城市发展投资集团有限公司</w:t>
      </w:r>
      <w:r>
        <w:rPr>
          <w:rFonts w:hint="eastAsia"/>
          <w:color w:val="auto"/>
          <w:sz w:val="24"/>
          <w:szCs w:val="24"/>
          <w:highlight w:val="none"/>
        </w:rPr>
        <w:fldChar w:fldCharType="end"/>
      </w:r>
      <w:r>
        <w:rPr>
          <w:rFonts w:hint="eastAsia"/>
          <w:color w:val="auto"/>
          <w:sz w:val="24"/>
          <w:szCs w:val="24"/>
          <w:highlight w:val="none"/>
        </w:rPr>
        <w:t>门户网站发布变更公告，请各投标人随时关注相关信息。</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投标文件的递交</w:t>
      </w:r>
      <w:bookmarkStart w:id="56" w:name="_GoBack"/>
      <w:bookmarkEnd w:id="56"/>
    </w:p>
    <w:p>
      <w:pPr>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投标文件递交的截止时间(投标截止时间)为 2021年</w:t>
      </w:r>
      <w:r>
        <w:rPr>
          <w:rFonts w:hint="eastAsia"/>
          <w:color w:val="auto"/>
          <w:sz w:val="24"/>
          <w:szCs w:val="24"/>
          <w:highlight w:val="none"/>
          <w:lang w:val="en-US" w:eastAsia="zh-CN"/>
        </w:rPr>
        <w:t>11</w:t>
      </w:r>
      <w:r>
        <w:rPr>
          <w:rFonts w:hint="eastAsia"/>
          <w:color w:val="auto"/>
          <w:sz w:val="24"/>
          <w:szCs w:val="24"/>
          <w:highlight w:val="none"/>
        </w:rPr>
        <w:t>月</w:t>
      </w:r>
      <w:r>
        <w:rPr>
          <w:rFonts w:hint="eastAsia"/>
          <w:color w:val="auto"/>
          <w:sz w:val="24"/>
          <w:szCs w:val="24"/>
          <w:highlight w:val="none"/>
          <w:lang w:val="en-US" w:eastAsia="zh-CN"/>
        </w:rPr>
        <w:t>1</w:t>
      </w:r>
      <w:r>
        <w:rPr>
          <w:rFonts w:hint="eastAsia"/>
          <w:color w:val="auto"/>
          <w:sz w:val="24"/>
          <w:szCs w:val="24"/>
          <w:highlight w:val="none"/>
        </w:rPr>
        <w:t>日</w:t>
      </w:r>
      <w:r>
        <w:rPr>
          <w:rFonts w:hint="eastAsia"/>
          <w:color w:val="auto"/>
          <w:sz w:val="24"/>
          <w:szCs w:val="24"/>
          <w:highlight w:val="none"/>
          <w:lang w:val="en-US" w:eastAsia="zh-CN"/>
        </w:rPr>
        <w:t>14</w:t>
      </w:r>
      <w:r>
        <w:rPr>
          <w:rFonts w:hint="eastAsia"/>
          <w:color w:val="auto"/>
          <w:sz w:val="24"/>
          <w:szCs w:val="24"/>
          <w:highlight w:val="none"/>
        </w:rPr>
        <w:t>时00分。</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6.2</w:t>
      </w:r>
      <w:r>
        <w:rPr>
          <w:rFonts w:hint="eastAsia"/>
          <w:color w:val="auto"/>
          <w:sz w:val="24"/>
          <w:szCs w:val="24"/>
          <w:highlight w:val="none"/>
        </w:rPr>
        <w:t>递交方式：本次项目采取网上递交及网络开标的方式进行(详见招标文件)，截止时间后递交的投标文件不予接收。即投标人在招标文件上规定的截止时间前，将投标文件转换成PDF格式并加密上传到（</w:t>
      </w:r>
      <w:r>
        <w:rPr>
          <w:rFonts w:hint="eastAsia"/>
          <w:color w:val="auto"/>
          <w:sz w:val="24"/>
          <w:szCs w:val="24"/>
          <w:highlight w:val="none"/>
          <w:lang w:val="en-US"/>
        </w:rPr>
        <w:t>870436423</w:t>
      </w:r>
      <w:r>
        <w:rPr>
          <w:rFonts w:hint="eastAsia"/>
          <w:color w:val="auto"/>
          <w:sz w:val="24"/>
          <w:szCs w:val="24"/>
          <w:highlight w:val="none"/>
        </w:rPr>
        <w:t xml:space="preserve">@qq.com）邮箱。其中投标人递交投标文件时一定要在“邮件主题”上标注参与项目的名称+投标人名称。 </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6.3</w:t>
      </w:r>
      <w:r>
        <w:rPr>
          <w:rFonts w:hint="eastAsia"/>
          <w:color w:val="auto"/>
          <w:sz w:val="24"/>
          <w:szCs w:val="24"/>
          <w:highlight w:val="none"/>
        </w:rPr>
        <w:t>由于本次开标采用网络开标，采用的会议软件为“腾讯会议”，请各投标人授权代表（即参会人员）提前用带视频功能的手机或电脑下载“腾讯会议”并提前自行测试，防止意外出现。代理机构在投标文件递交截止时间后，将本次开标会的会议时间、会议ID及密码以邮件回传给在规定时间内递交了投标文件的投标人的投标邮箱。投标人不要使用163、162邮箱（该类型邮箱下载限速，影响开标进程），也不要将文件压缩。</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发布公告的媒介</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本次招标公告在黄石市城发集团网上发布。</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联系方式</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 标 人：黄石市二医院有限公司</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rPr>
        <w:t>联 系 人：卫冲</w:t>
      </w:r>
      <w:r>
        <w:rPr>
          <w:rFonts w:hint="eastAsia"/>
          <w:color w:val="auto"/>
          <w:sz w:val="24"/>
          <w:szCs w:val="24"/>
          <w:highlight w:val="none"/>
          <w:lang w:val="en-US"/>
        </w:rPr>
        <w:t xml:space="preserve">  </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rPr>
        <w:t>电 话：</w:t>
      </w:r>
      <w:r>
        <w:rPr>
          <w:rFonts w:hint="eastAsia"/>
          <w:color w:val="auto"/>
          <w:sz w:val="24"/>
          <w:szCs w:val="24"/>
          <w:highlight w:val="none"/>
          <w:lang w:val="en-US"/>
        </w:rPr>
        <w:t xml:space="preserve"> 15572935901</w:t>
      </w:r>
    </w:p>
    <w:p>
      <w:pPr>
        <w:pStyle w:val="10"/>
        <w:snapToGrid w:val="0"/>
        <w:spacing w:line="460" w:lineRule="exact"/>
        <w:ind w:firstLine="480" w:firstLineChars="200"/>
        <w:jc w:val="both"/>
        <w:textAlignment w:val="baseline"/>
        <w:rPr>
          <w:color w:val="auto"/>
          <w:sz w:val="24"/>
          <w:szCs w:val="24"/>
          <w:highlight w:val="none"/>
          <w:lang w:val="en-US"/>
        </w:rPr>
      </w:pP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招标代理：湖北城发设计咨询集团有限公司</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联系人：</w:t>
      </w:r>
      <w:r>
        <w:rPr>
          <w:rFonts w:hint="eastAsia"/>
          <w:color w:val="auto"/>
          <w:sz w:val="24"/>
          <w:szCs w:val="24"/>
          <w:highlight w:val="none"/>
          <w:lang w:val="en-US"/>
        </w:rPr>
        <w:t>王晨曦</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rPr>
        <w:t>联系电话：</w:t>
      </w:r>
      <w:r>
        <w:rPr>
          <w:rFonts w:hint="eastAsia"/>
          <w:color w:val="auto"/>
          <w:sz w:val="24"/>
          <w:szCs w:val="24"/>
          <w:highlight w:val="none"/>
          <w:lang w:val="en-US"/>
        </w:rPr>
        <w:t>18907239511</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hr-HR"/>
        </w:rPr>
        <w:t>地址：</w:t>
      </w:r>
      <w:r>
        <w:rPr>
          <w:rFonts w:hint="eastAsia"/>
          <w:color w:val="auto"/>
          <w:highlight w:val="none"/>
        </w:rPr>
        <w:t>黄石市下陆区磁湖路198号</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电子邮箱：</w:t>
      </w:r>
      <w:r>
        <w:rPr>
          <w:rFonts w:hint="eastAsia"/>
          <w:color w:val="auto"/>
          <w:sz w:val="24"/>
          <w:szCs w:val="24"/>
          <w:highlight w:val="none"/>
          <w:lang w:val="en-US"/>
        </w:rPr>
        <w:t>870436423</w:t>
      </w:r>
      <w:r>
        <w:rPr>
          <w:rFonts w:hint="eastAsia"/>
          <w:color w:val="auto"/>
          <w:sz w:val="24"/>
          <w:szCs w:val="24"/>
          <w:highlight w:val="none"/>
        </w:rPr>
        <w:t>@qq.com</w:t>
      </w:r>
    </w:p>
    <w:p>
      <w:pPr>
        <w:pStyle w:val="10"/>
        <w:snapToGrid w:val="0"/>
        <w:spacing w:before="91" w:line="360" w:lineRule="auto"/>
        <w:ind w:firstLine="480" w:firstLineChars="200"/>
        <w:textAlignment w:val="baseline"/>
        <w:rPr>
          <w:color w:val="auto"/>
          <w:sz w:val="24"/>
          <w:szCs w:val="24"/>
          <w:highlight w:val="none"/>
          <w:shd w:val="clear" w:color="auto" w:fill="FBFDFE"/>
        </w:rPr>
      </w:pPr>
    </w:p>
    <w:p>
      <w:pPr>
        <w:rPr>
          <w:rFonts w:ascii="黑体" w:hAnsi="黑体" w:eastAsia="黑体" w:cs="黑体"/>
          <w:b/>
          <w:color w:val="auto"/>
          <w:sz w:val="32"/>
          <w:highlight w:val="none"/>
          <w:lang w:val="en-US"/>
        </w:rPr>
      </w:pPr>
      <w:bookmarkStart w:id="10" w:name="_Toc1554"/>
      <w:r>
        <w:rPr>
          <w:rFonts w:hint="eastAsia" w:ascii="黑体" w:hAnsi="黑体" w:eastAsia="黑体" w:cs="黑体"/>
          <w:b/>
          <w:color w:val="auto"/>
          <w:sz w:val="32"/>
          <w:highlight w:val="none"/>
          <w:lang w:val="en-US"/>
        </w:rPr>
        <w:br w:type="page"/>
      </w:r>
    </w:p>
    <w:p>
      <w:pPr>
        <w:snapToGrid w:val="0"/>
        <w:jc w:val="center"/>
        <w:textAlignment w:val="baseline"/>
        <w:rPr>
          <w:rFonts w:ascii="黑体" w:hAnsi="黑体" w:eastAsia="黑体" w:cs="黑体"/>
          <w:b/>
          <w:color w:val="auto"/>
          <w:sz w:val="32"/>
          <w:highlight w:val="none"/>
          <w:lang w:val="en-US"/>
        </w:rPr>
      </w:pPr>
      <w:r>
        <w:rPr>
          <w:rFonts w:hint="eastAsia" w:ascii="黑体" w:hAnsi="黑体" w:eastAsia="黑体" w:cs="黑体"/>
          <w:b/>
          <w:color w:val="auto"/>
          <w:sz w:val="32"/>
          <w:highlight w:val="none"/>
          <w:lang w:val="en-US"/>
        </w:rPr>
        <w:t>第二章 投标人须知</w:t>
      </w:r>
      <w:bookmarkEnd w:id="10"/>
    </w:p>
    <w:p>
      <w:pPr>
        <w:snapToGrid w:val="0"/>
        <w:spacing w:line="460" w:lineRule="exact"/>
        <w:jc w:val="center"/>
        <w:textAlignment w:val="baseline"/>
        <w:rPr>
          <w:rFonts w:eastAsia="微软雅黑"/>
          <w:color w:val="auto"/>
          <w:sz w:val="24"/>
          <w:szCs w:val="24"/>
          <w:highlight w:val="none"/>
          <w:lang w:val="en-US"/>
        </w:rPr>
      </w:pPr>
      <w:r>
        <w:rPr>
          <w:rFonts w:hint="eastAsia" w:ascii="微软雅黑" w:eastAsia="微软雅黑"/>
          <w:b/>
          <w:color w:val="auto"/>
          <w:sz w:val="24"/>
          <w:szCs w:val="24"/>
          <w:highlight w:val="none"/>
        </w:rPr>
        <w:t>投标人须知前附表</w:t>
      </w:r>
    </w:p>
    <w:tbl>
      <w:tblPr>
        <w:tblStyle w:val="26"/>
        <w:tblW w:w="924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2"/>
        <w:gridCol w:w="2106"/>
        <w:gridCol w:w="6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34" w:line="460" w:lineRule="exact"/>
              <w:ind w:right="257"/>
              <w:jc w:val="center"/>
              <w:textAlignment w:val="baseline"/>
              <w:rPr>
                <w:b/>
                <w:color w:val="auto"/>
                <w:sz w:val="24"/>
                <w:szCs w:val="24"/>
                <w:highlight w:val="none"/>
              </w:rPr>
            </w:pPr>
            <w:r>
              <w:rPr>
                <w:rFonts w:hint="eastAsia"/>
                <w:b/>
                <w:color w:val="auto"/>
                <w:sz w:val="24"/>
                <w:szCs w:val="24"/>
                <w:highlight w:val="none"/>
              </w:rPr>
              <w:t>项号</w:t>
            </w:r>
          </w:p>
        </w:tc>
        <w:tc>
          <w:tcPr>
            <w:tcW w:w="2106" w:type="dxa"/>
            <w:vAlign w:val="center"/>
          </w:tcPr>
          <w:p>
            <w:pPr>
              <w:pStyle w:val="43"/>
              <w:snapToGrid w:val="0"/>
              <w:spacing w:before="34" w:line="460" w:lineRule="exact"/>
              <w:jc w:val="center"/>
              <w:textAlignment w:val="baseline"/>
              <w:rPr>
                <w:b/>
                <w:color w:val="auto"/>
                <w:sz w:val="24"/>
                <w:szCs w:val="24"/>
                <w:highlight w:val="none"/>
              </w:rPr>
            </w:pPr>
            <w:r>
              <w:rPr>
                <w:rFonts w:hint="eastAsia"/>
                <w:b/>
                <w:color w:val="auto"/>
                <w:sz w:val="24"/>
                <w:szCs w:val="24"/>
                <w:highlight w:val="none"/>
              </w:rPr>
              <w:t>类 别</w:t>
            </w:r>
          </w:p>
        </w:tc>
        <w:tc>
          <w:tcPr>
            <w:tcW w:w="6143" w:type="dxa"/>
            <w:vAlign w:val="center"/>
          </w:tcPr>
          <w:p>
            <w:pPr>
              <w:pStyle w:val="43"/>
              <w:tabs>
                <w:tab w:val="left" w:pos="1059"/>
              </w:tabs>
              <w:snapToGrid w:val="0"/>
              <w:spacing w:before="34" w:line="460" w:lineRule="exact"/>
              <w:ind w:left="3"/>
              <w:jc w:val="center"/>
              <w:textAlignment w:val="baseline"/>
              <w:rPr>
                <w:b/>
                <w:color w:val="auto"/>
                <w:sz w:val="24"/>
                <w:szCs w:val="24"/>
                <w:highlight w:val="none"/>
              </w:rPr>
            </w:pPr>
            <w:r>
              <w:rPr>
                <w:rFonts w:hint="eastAsia"/>
                <w:b/>
                <w:color w:val="auto"/>
                <w:sz w:val="24"/>
                <w:szCs w:val="24"/>
                <w:highlight w:val="none"/>
              </w:rPr>
              <w:t>内</w:t>
            </w:r>
            <w:r>
              <w:rPr>
                <w:rFonts w:hint="eastAsia"/>
                <w:b/>
                <w:color w:val="auto"/>
                <w:sz w:val="24"/>
                <w:szCs w:val="24"/>
                <w:highlight w:val="none"/>
              </w:rPr>
              <w:tab/>
            </w:r>
            <w:r>
              <w:rPr>
                <w:rFonts w:hint="eastAsia"/>
                <w:b/>
                <w:color w:val="auto"/>
                <w:sz w:val="24"/>
                <w:szCs w:val="24"/>
                <w:highlight w:val="none"/>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992" w:type="dxa"/>
            <w:vAlign w:val="center"/>
          </w:tcPr>
          <w:p>
            <w:pPr>
              <w:pStyle w:val="43"/>
              <w:snapToGrid w:val="0"/>
              <w:spacing w:line="460" w:lineRule="exact"/>
              <w:ind w:left="9"/>
              <w:jc w:val="center"/>
              <w:textAlignment w:val="baseline"/>
              <w:rPr>
                <w:color w:val="auto"/>
                <w:sz w:val="24"/>
                <w:szCs w:val="24"/>
                <w:highlight w:val="none"/>
              </w:rPr>
            </w:pPr>
            <w:r>
              <w:rPr>
                <w:rFonts w:hint="eastAsia"/>
                <w:color w:val="auto"/>
                <w:sz w:val="24"/>
                <w:szCs w:val="24"/>
                <w:highlight w:val="none"/>
              </w:rPr>
              <w:t>1</w:t>
            </w:r>
          </w:p>
        </w:tc>
        <w:tc>
          <w:tcPr>
            <w:tcW w:w="2106" w:type="dxa"/>
            <w:vAlign w:val="center"/>
          </w:tcPr>
          <w:p>
            <w:pPr>
              <w:pStyle w:val="43"/>
              <w:snapToGrid w:val="0"/>
              <w:spacing w:line="460" w:lineRule="exact"/>
              <w:ind w:left="106"/>
              <w:textAlignment w:val="baseline"/>
              <w:rPr>
                <w:color w:val="auto"/>
                <w:sz w:val="24"/>
                <w:szCs w:val="24"/>
                <w:highlight w:val="none"/>
              </w:rPr>
            </w:pPr>
            <w:r>
              <w:rPr>
                <w:rFonts w:hint="eastAsia"/>
                <w:color w:val="auto"/>
                <w:sz w:val="24"/>
                <w:szCs w:val="24"/>
                <w:highlight w:val="none"/>
              </w:rPr>
              <w:t>项目名称</w:t>
            </w:r>
          </w:p>
        </w:tc>
        <w:tc>
          <w:tcPr>
            <w:tcW w:w="6143" w:type="dxa"/>
            <w:vAlign w:val="center"/>
          </w:tcPr>
          <w:p>
            <w:pPr>
              <w:pStyle w:val="43"/>
              <w:snapToGrid w:val="0"/>
              <w:spacing w:before="145" w:line="460" w:lineRule="exact"/>
              <w:ind w:left="106" w:right="98"/>
              <w:jc w:val="both"/>
              <w:textAlignment w:val="baseline"/>
              <w:rPr>
                <w:color w:val="auto"/>
                <w:sz w:val="24"/>
                <w:szCs w:val="24"/>
                <w:highlight w:val="none"/>
              </w:rPr>
            </w:pPr>
            <w:r>
              <w:rPr>
                <w:rFonts w:hint="eastAsia"/>
                <w:color w:val="auto"/>
                <w:spacing w:val="4"/>
                <w:sz w:val="24"/>
                <w:szCs w:val="24"/>
                <w:highlight w:val="none"/>
              </w:rPr>
              <w:t>黄石市二医院</w:t>
            </w:r>
            <w:r>
              <w:rPr>
                <w:rFonts w:hint="eastAsia"/>
                <w:color w:val="auto"/>
                <w:spacing w:val="4"/>
                <w:sz w:val="24"/>
                <w:szCs w:val="24"/>
                <w:highlight w:val="none"/>
                <w:lang w:eastAsia="zh-CN"/>
              </w:rPr>
              <w:t>高低压配电房至冷水机组密集型母线槽</w:t>
            </w:r>
            <w:r>
              <w:rPr>
                <w:rFonts w:hint="eastAsia"/>
                <w:color w:val="auto"/>
                <w:spacing w:val="4"/>
                <w:sz w:val="24"/>
                <w:szCs w:val="24"/>
                <w:highlight w:val="none"/>
              </w:rPr>
              <w:t>采购及安装项目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2</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项目地点</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湖北省黄石市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lang w:val="en-US"/>
              </w:rPr>
            </w:pPr>
            <w:r>
              <w:rPr>
                <w:rFonts w:hint="eastAsia"/>
                <w:color w:val="auto"/>
                <w:sz w:val="24"/>
                <w:szCs w:val="24"/>
                <w:highlight w:val="none"/>
                <w:lang w:val="en-US"/>
              </w:rPr>
              <w:t>3</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招标方式</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公开招标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4</w:t>
            </w:r>
          </w:p>
        </w:tc>
        <w:tc>
          <w:tcPr>
            <w:tcW w:w="2106" w:type="dxa"/>
          </w:tcPr>
          <w:p>
            <w:pPr>
              <w:pStyle w:val="43"/>
              <w:snapToGrid w:val="0"/>
              <w:spacing w:before="102" w:line="460" w:lineRule="exact"/>
              <w:ind w:left="106"/>
              <w:textAlignment w:val="baseline"/>
              <w:rPr>
                <w:color w:val="auto"/>
                <w:sz w:val="24"/>
                <w:szCs w:val="24"/>
                <w:highlight w:val="none"/>
              </w:rPr>
            </w:pPr>
            <w:r>
              <w:rPr>
                <w:rFonts w:hint="eastAsia"/>
                <w:color w:val="auto"/>
                <w:sz w:val="24"/>
                <w:szCs w:val="24"/>
                <w:highlight w:val="none"/>
              </w:rPr>
              <w:t>项目工期</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30</w:t>
            </w:r>
            <w:r>
              <w:rPr>
                <w:rFonts w:hint="eastAsia"/>
                <w:color w:val="auto"/>
                <w:sz w:val="24"/>
                <w:szCs w:val="24"/>
                <w:highlight w:val="none"/>
              </w:rPr>
              <w:t>天</w:t>
            </w:r>
            <w:r>
              <w:rPr>
                <w:rFonts w:hint="eastAsia"/>
                <w:color w:val="auto"/>
                <w:sz w:val="24"/>
                <w:szCs w:val="24"/>
                <w:highlight w:val="none"/>
                <w:lang w:val="en-US"/>
              </w:rPr>
              <w:t>(</w:t>
            </w:r>
            <w:r>
              <w:rPr>
                <w:rFonts w:hint="eastAsia"/>
                <w:color w:val="auto"/>
                <w:spacing w:val="-3"/>
                <w:sz w:val="24"/>
                <w:szCs w:val="24"/>
                <w:highlight w:val="none"/>
              </w:rPr>
              <w:t>自</w:t>
            </w:r>
            <w:r>
              <w:rPr>
                <w:rFonts w:hint="eastAsia"/>
                <w:color w:val="auto"/>
                <w:spacing w:val="-3"/>
                <w:sz w:val="24"/>
                <w:szCs w:val="24"/>
                <w:highlight w:val="none"/>
                <w:lang w:val="en-US"/>
              </w:rPr>
              <w:t>合同签定自日起</w:t>
            </w:r>
            <w:r>
              <w:rPr>
                <w:rFonts w:hint="eastAsia"/>
                <w:color w:val="auto"/>
                <w:sz w:val="24"/>
                <w:szCs w:val="24"/>
                <w:highlight w:val="none"/>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102" w:line="460" w:lineRule="exact"/>
              <w:ind w:left="9"/>
              <w:jc w:val="center"/>
              <w:textAlignment w:val="baseline"/>
              <w:rPr>
                <w:color w:val="auto"/>
                <w:sz w:val="24"/>
                <w:szCs w:val="24"/>
                <w:highlight w:val="none"/>
              </w:rPr>
            </w:pPr>
            <w:r>
              <w:rPr>
                <w:rFonts w:hint="eastAsia"/>
                <w:color w:val="auto"/>
                <w:sz w:val="24"/>
                <w:szCs w:val="24"/>
                <w:highlight w:val="none"/>
              </w:rPr>
              <w:t>5</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资金来源</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企业自筹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6</w:t>
            </w:r>
          </w:p>
        </w:tc>
        <w:tc>
          <w:tcPr>
            <w:tcW w:w="2106" w:type="dxa"/>
            <w:vAlign w:val="center"/>
          </w:tcPr>
          <w:p>
            <w:pPr>
              <w:pStyle w:val="43"/>
              <w:snapToGrid w:val="0"/>
              <w:spacing w:line="460" w:lineRule="exact"/>
              <w:textAlignment w:val="baseline"/>
              <w:rPr>
                <w:color w:val="auto"/>
                <w:sz w:val="24"/>
                <w:szCs w:val="24"/>
                <w:highlight w:val="none"/>
              </w:rPr>
            </w:pPr>
            <w:r>
              <w:rPr>
                <w:rFonts w:hint="eastAsia"/>
                <w:color w:val="auto"/>
                <w:sz w:val="24"/>
                <w:szCs w:val="24"/>
                <w:highlight w:val="none"/>
              </w:rPr>
              <w:t>招标内容</w:t>
            </w:r>
          </w:p>
        </w:tc>
        <w:tc>
          <w:tcPr>
            <w:tcW w:w="6143" w:type="dxa"/>
          </w:tcPr>
          <w:p>
            <w:pPr>
              <w:pStyle w:val="43"/>
              <w:snapToGrid w:val="0"/>
              <w:spacing w:before="142" w:line="460" w:lineRule="exact"/>
              <w:ind w:left="108" w:right="95"/>
              <w:jc w:val="both"/>
              <w:textAlignment w:val="baseline"/>
              <w:rPr>
                <w:color w:val="auto"/>
                <w:sz w:val="24"/>
                <w:szCs w:val="24"/>
                <w:highlight w:val="none"/>
                <w:lang w:val="en-US"/>
              </w:rPr>
            </w:pPr>
            <w:r>
              <w:rPr>
                <w:rFonts w:hint="eastAsia"/>
                <w:color w:val="auto"/>
                <w:spacing w:val="4"/>
                <w:sz w:val="24"/>
                <w:szCs w:val="24"/>
                <w:highlight w:val="none"/>
                <w:lang w:eastAsia="zh-CN"/>
              </w:rPr>
              <w:t>高低压配电房至冷水机组密集型母线槽</w:t>
            </w:r>
            <w:r>
              <w:rPr>
                <w:rFonts w:hint="eastAsia"/>
                <w:color w:val="auto"/>
                <w:sz w:val="24"/>
                <w:szCs w:val="24"/>
                <w:highlight w:val="none"/>
              </w:rPr>
              <w:t>采购及安装、验收、保养等，采购清单详见“第五章、技术要求及说明”。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992" w:type="dxa"/>
            <w:vAlign w:val="center"/>
          </w:tcPr>
          <w:p>
            <w:pPr>
              <w:pStyle w:val="43"/>
              <w:snapToGrid w:val="0"/>
              <w:spacing w:line="460" w:lineRule="exact"/>
              <w:ind w:left="9"/>
              <w:jc w:val="center"/>
              <w:textAlignment w:val="baseline"/>
              <w:rPr>
                <w:color w:val="auto"/>
                <w:sz w:val="24"/>
                <w:szCs w:val="24"/>
                <w:highlight w:val="none"/>
              </w:rPr>
            </w:pPr>
            <w:r>
              <w:rPr>
                <w:rFonts w:hint="eastAsia"/>
                <w:color w:val="auto"/>
                <w:sz w:val="24"/>
                <w:szCs w:val="24"/>
                <w:highlight w:val="none"/>
              </w:rPr>
              <w:t>7</w:t>
            </w:r>
          </w:p>
        </w:tc>
        <w:tc>
          <w:tcPr>
            <w:tcW w:w="2106" w:type="dxa"/>
          </w:tcPr>
          <w:p>
            <w:pPr>
              <w:pStyle w:val="43"/>
              <w:snapToGrid w:val="0"/>
              <w:spacing w:before="118" w:line="460" w:lineRule="exact"/>
              <w:ind w:left="106"/>
              <w:textAlignment w:val="baseline"/>
              <w:rPr>
                <w:color w:val="auto"/>
                <w:sz w:val="24"/>
                <w:szCs w:val="24"/>
                <w:highlight w:val="none"/>
              </w:rPr>
            </w:pPr>
            <w:r>
              <w:rPr>
                <w:rFonts w:hint="eastAsia"/>
                <w:color w:val="auto"/>
                <w:sz w:val="24"/>
                <w:szCs w:val="24"/>
                <w:highlight w:val="none"/>
              </w:rPr>
              <w:t>供货要求</w:t>
            </w:r>
          </w:p>
        </w:tc>
        <w:tc>
          <w:tcPr>
            <w:tcW w:w="6143" w:type="dxa"/>
          </w:tcPr>
          <w:p>
            <w:pPr>
              <w:pStyle w:val="43"/>
              <w:snapToGrid w:val="0"/>
              <w:spacing w:before="176" w:line="460" w:lineRule="exact"/>
              <w:ind w:left="106"/>
              <w:textAlignment w:val="baseline"/>
              <w:rPr>
                <w:color w:val="auto"/>
                <w:sz w:val="24"/>
                <w:szCs w:val="24"/>
                <w:highlight w:val="none"/>
              </w:rPr>
            </w:pPr>
            <w:r>
              <w:rPr>
                <w:rFonts w:hint="eastAsia"/>
                <w:color w:val="auto"/>
                <w:sz w:val="24"/>
                <w:szCs w:val="24"/>
                <w:highlight w:val="none"/>
              </w:rPr>
              <w:t>详见第五章“技术要求及说明”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118" w:line="460" w:lineRule="exact"/>
              <w:ind w:left="9"/>
              <w:jc w:val="center"/>
              <w:textAlignment w:val="baseline"/>
              <w:rPr>
                <w:color w:val="auto"/>
                <w:sz w:val="24"/>
                <w:szCs w:val="24"/>
                <w:highlight w:val="none"/>
              </w:rPr>
            </w:pPr>
            <w:r>
              <w:rPr>
                <w:rFonts w:hint="eastAsia"/>
                <w:color w:val="auto"/>
                <w:sz w:val="24"/>
                <w:szCs w:val="24"/>
                <w:highlight w:val="none"/>
              </w:rPr>
              <w:t>8</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质量要求</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合格，达到国家相关标准。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9</w:t>
            </w:r>
          </w:p>
        </w:tc>
        <w:tc>
          <w:tcPr>
            <w:tcW w:w="2106" w:type="dxa"/>
            <w:vAlign w:val="center"/>
          </w:tcPr>
          <w:p>
            <w:pPr>
              <w:pStyle w:val="43"/>
              <w:snapToGrid w:val="0"/>
              <w:spacing w:before="99" w:line="460" w:lineRule="exact"/>
              <w:ind w:left="106"/>
              <w:jc w:val="both"/>
              <w:textAlignment w:val="baseline"/>
              <w:rPr>
                <w:color w:val="auto"/>
                <w:sz w:val="24"/>
                <w:szCs w:val="24"/>
                <w:highlight w:val="none"/>
              </w:rPr>
            </w:pPr>
            <w:r>
              <w:rPr>
                <w:rFonts w:hint="eastAsia"/>
                <w:color w:val="auto"/>
                <w:sz w:val="24"/>
                <w:szCs w:val="24"/>
                <w:highlight w:val="none"/>
              </w:rPr>
              <w:t>质保期</w:t>
            </w:r>
          </w:p>
        </w:tc>
        <w:tc>
          <w:tcPr>
            <w:tcW w:w="6143" w:type="dxa"/>
            <w:vAlign w:val="center"/>
          </w:tcPr>
          <w:p>
            <w:pPr>
              <w:pStyle w:val="43"/>
              <w:snapToGrid w:val="0"/>
              <w:spacing w:line="460" w:lineRule="exact"/>
              <w:ind w:left="108"/>
              <w:textAlignment w:val="baseline"/>
              <w:rPr>
                <w:color w:val="auto"/>
                <w:sz w:val="24"/>
                <w:szCs w:val="24"/>
                <w:highlight w:val="none"/>
                <w:lang w:val="en-US"/>
              </w:rPr>
            </w:pPr>
            <w:r>
              <w:rPr>
                <w:rFonts w:hint="eastAsia"/>
                <w:color w:val="auto"/>
                <w:sz w:val="24"/>
                <w:szCs w:val="24"/>
                <w:highlight w:val="none"/>
                <w:lang w:val="en-US"/>
              </w:rPr>
              <w:t>自安装、调试验收合格之日起2年内免费质保，投标人可提出更优惠的质保承诺。质保期内所有产品如有质量问题，投标人应提供免费包修服务。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266" w:right="257"/>
              <w:jc w:val="center"/>
              <w:textAlignment w:val="baseline"/>
              <w:rPr>
                <w:color w:val="auto"/>
                <w:sz w:val="24"/>
                <w:szCs w:val="24"/>
                <w:highlight w:val="none"/>
              </w:rPr>
            </w:pPr>
            <w:r>
              <w:rPr>
                <w:rFonts w:hint="eastAsia"/>
                <w:color w:val="auto"/>
                <w:sz w:val="24"/>
                <w:szCs w:val="24"/>
                <w:highlight w:val="none"/>
              </w:rPr>
              <w:t>10</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投标人资格要求</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详见第一章“招标公告”第 3 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jc w:val="center"/>
        </w:trPr>
        <w:tc>
          <w:tcPr>
            <w:tcW w:w="992" w:type="dxa"/>
            <w:vAlign w:val="center"/>
          </w:tcPr>
          <w:p>
            <w:pPr>
              <w:pStyle w:val="43"/>
              <w:snapToGrid w:val="0"/>
              <w:spacing w:before="99" w:line="460" w:lineRule="exact"/>
              <w:ind w:left="266" w:right="257"/>
              <w:jc w:val="center"/>
              <w:textAlignment w:val="baseline"/>
              <w:rPr>
                <w:color w:val="auto"/>
                <w:sz w:val="24"/>
                <w:szCs w:val="24"/>
                <w:highlight w:val="none"/>
              </w:rPr>
            </w:pPr>
            <w:r>
              <w:rPr>
                <w:rFonts w:hint="eastAsia"/>
                <w:color w:val="auto"/>
                <w:sz w:val="24"/>
                <w:szCs w:val="24"/>
                <w:highlight w:val="none"/>
              </w:rPr>
              <w:t>11</w:t>
            </w:r>
          </w:p>
        </w:tc>
        <w:tc>
          <w:tcPr>
            <w:tcW w:w="2106" w:type="dxa"/>
          </w:tcPr>
          <w:p>
            <w:pPr>
              <w:pStyle w:val="43"/>
              <w:snapToGrid w:val="0"/>
              <w:spacing w:before="102" w:line="460" w:lineRule="exact"/>
              <w:ind w:left="106"/>
              <w:textAlignment w:val="baseline"/>
              <w:rPr>
                <w:color w:val="auto"/>
                <w:sz w:val="24"/>
                <w:szCs w:val="24"/>
                <w:highlight w:val="none"/>
              </w:rPr>
            </w:pPr>
            <w:r>
              <w:rPr>
                <w:rFonts w:hint="eastAsia"/>
                <w:color w:val="auto"/>
                <w:sz w:val="24"/>
                <w:szCs w:val="24"/>
                <w:highlight w:val="none"/>
              </w:rPr>
              <w:t>资格审查方式</w:t>
            </w:r>
          </w:p>
        </w:tc>
        <w:tc>
          <w:tcPr>
            <w:tcW w:w="6143" w:type="dxa"/>
          </w:tcPr>
          <w:p>
            <w:pPr>
              <w:pStyle w:val="43"/>
              <w:snapToGrid w:val="0"/>
              <w:spacing w:before="145" w:line="460" w:lineRule="exact"/>
              <w:ind w:left="106"/>
              <w:textAlignment w:val="baseline"/>
              <w:rPr>
                <w:color w:val="auto"/>
                <w:sz w:val="24"/>
                <w:szCs w:val="24"/>
                <w:highlight w:val="none"/>
              </w:rPr>
            </w:pPr>
            <w:r>
              <w:rPr>
                <w:rFonts w:hint="eastAsia"/>
                <w:color w:val="auto"/>
                <w:sz w:val="24"/>
                <w:szCs w:val="24"/>
                <w:highlight w:val="none"/>
              </w:rPr>
              <w:t>资格后审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992" w:type="dxa"/>
            <w:vAlign w:val="center"/>
          </w:tcPr>
          <w:p>
            <w:pPr>
              <w:pStyle w:val="43"/>
              <w:snapToGrid w:val="0"/>
              <w:spacing w:before="102" w:line="460" w:lineRule="exact"/>
              <w:ind w:left="266" w:right="257"/>
              <w:jc w:val="center"/>
              <w:textAlignment w:val="baseline"/>
              <w:rPr>
                <w:color w:val="auto"/>
                <w:sz w:val="24"/>
                <w:szCs w:val="24"/>
                <w:highlight w:val="none"/>
              </w:rPr>
            </w:pPr>
            <w:r>
              <w:rPr>
                <w:rFonts w:hint="eastAsia"/>
                <w:color w:val="auto"/>
                <w:sz w:val="24"/>
                <w:szCs w:val="24"/>
                <w:highlight w:val="none"/>
              </w:rPr>
              <w:t>11</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发售招标文件的时间及地点</w:t>
            </w:r>
          </w:p>
        </w:tc>
        <w:tc>
          <w:tcPr>
            <w:tcW w:w="6143" w:type="dxa"/>
          </w:tcPr>
          <w:p>
            <w:pPr>
              <w:pStyle w:val="43"/>
              <w:snapToGrid w:val="0"/>
              <w:spacing w:line="460" w:lineRule="exact"/>
              <w:ind w:left="108"/>
              <w:textAlignment w:val="baseline"/>
              <w:rPr>
                <w:rFonts w:hint="default" w:eastAsia="宋体"/>
                <w:color w:val="auto"/>
                <w:sz w:val="24"/>
                <w:szCs w:val="24"/>
                <w:highlight w:val="none"/>
                <w:lang w:val="en-US" w:eastAsia="zh-CN"/>
              </w:rPr>
            </w:pPr>
            <w:r>
              <w:rPr>
                <w:rFonts w:hint="eastAsia"/>
                <w:color w:val="auto"/>
                <w:sz w:val="24"/>
                <w:szCs w:val="24"/>
                <w:highlight w:val="none"/>
                <w:lang w:val="en-US"/>
              </w:rPr>
              <w:t>时间：公告发布之日至2021年</w:t>
            </w:r>
            <w:r>
              <w:rPr>
                <w:rFonts w:hint="eastAsia"/>
                <w:color w:val="auto"/>
                <w:sz w:val="24"/>
                <w:szCs w:val="24"/>
                <w:highlight w:val="none"/>
                <w:lang w:val="en-US" w:eastAsia="zh-CN"/>
              </w:rPr>
              <w:t>10</w:t>
            </w:r>
            <w:r>
              <w:rPr>
                <w:rFonts w:hint="eastAsia"/>
                <w:color w:val="auto"/>
                <w:sz w:val="24"/>
                <w:szCs w:val="24"/>
                <w:highlight w:val="none"/>
                <w:lang w:val="en-US"/>
              </w:rPr>
              <w:t>月</w:t>
            </w:r>
            <w:r>
              <w:rPr>
                <w:rFonts w:hint="eastAsia"/>
                <w:color w:val="auto"/>
                <w:sz w:val="24"/>
                <w:szCs w:val="24"/>
                <w:highlight w:val="none"/>
                <w:lang w:val="en-US" w:eastAsia="zh-CN"/>
              </w:rPr>
              <w:t>31</w:t>
            </w:r>
            <w:r>
              <w:rPr>
                <w:rFonts w:hint="eastAsia"/>
                <w:color w:val="auto"/>
                <w:sz w:val="24"/>
                <w:szCs w:val="24"/>
                <w:highlight w:val="none"/>
                <w:lang w:val="en-US"/>
              </w:rPr>
              <w:t>日</w:t>
            </w:r>
            <w:r>
              <w:rPr>
                <w:rFonts w:hint="eastAsia"/>
                <w:color w:val="auto"/>
                <w:sz w:val="24"/>
                <w:szCs w:val="24"/>
                <w:highlight w:val="none"/>
                <w:lang w:val="en-US" w:eastAsia="zh-CN"/>
              </w:rPr>
              <w:t>16点整</w:t>
            </w:r>
          </w:p>
          <w:p>
            <w:pPr>
              <w:pStyle w:val="43"/>
              <w:snapToGrid w:val="0"/>
              <w:spacing w:line="460" w:lineRule="exact"/>
              <w:ind w:left="108"/>
              <w:textAlignment w:val="baseline"/>
              <w:rPr>
                <w:color w:val="auto"/>
                <w:sz w:val="24"/>
                <w:szCs w:val="24"/>
                <w:highlight w:val="none"/>
              </w:rPr>
            </w:pPr>
            <w:r>
              <w:rPr>
                <w:rFonts w:hint="eastAsia"/>
                <w:color w:val="auto"/>
                <w:sz w:val="24"/>
                <w:szCs w:val="24"/>
                <w:highlight w:val="none"/>
                <w:lang w:val="en-US"/>
              </w:rPr>
              <w:t>地点：</w:t>
            </w:r>
            <w:r>
              <w:rPr>
                <w:rFonts w:hint="eastAsia"/>
                <w:color w:val="auto"/>
                <w:sz w:val="24"/>
                <w:szCs w:val="24"/>
                <w:highlight w:val="none"/>
              </w:rPr>
              <w:t>黄石市城发集团网门户网站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 w:hRule="atLeast"/>
          <w:jc w:val="center"/>
        </w:trPr>
        <w:tc>
          <w:tcPr>
            <w:tcW w:w="992" w:type="dxa"/>
            <w:vAlign w:val="center"/>
          </w:tcPr>
          <w:p>
            <w:pPr>
              <w:pStyle w:val="43"/>
              <w:snapToGrid w:val="0"/>
              <w:spacing w:line="460" w:lineRule="exact"/>
              <w:ind w:left="266" w:right="257"/>
              <w:jc w:val="center"/>
              <w:textAlignment w:val="baseline"/>
              <w:rPr>
                <w:color w:val="auto"/>
                <w:sz w:val="24"/>
                <w:szCs w:val="24"/>
                <w:highlight w:val="none"/>
              </w:rPr>
            </w:pPr>
            <w:r>
              <w:rPr>
                <w:rFonts w:hint="eastAsia"/>
                <w:color w:val="auto"/>
                <w:sz w:val="24"/>
                <w:szCs w:val="24"/>
                <w:highlight w:val="none"/>
              </w:rPr>
              <w:t>12</w:t>
            </w:r>
          </w:p>
        </w:tc>
        <w:tc>
          <w:tcPr>
            <w:tcW w:w="2106" w:type="dxa"/>
            <w:vAlign w:val="center"/>
          </w:tcPr>
          <w:p>
            <w:pPr>
              <w:pStyle w:val="43"/>
              <w:snapToGrid w:val="0"/>
              <w:spacing w:before="99" w:line="460" w:lineRule="exact"/>
              <w:ind w:left="106"/>
              <w:jc w:val="both"/>
              <w:textAlignment w:val="baseline"/>
              <w:rPr>
                <w:color w:val="auto"/>
                <w:sz w:val="24"/>
                <w:szCs w:val="24"/>
                <w:highlight w:val="none"/>
              </w:rPr>
            </w:pPr>
            <w:r>
              <w:rPr>
                <w:rFonts w:hint="eastAsia"/>
                <w:color w:val="auto"/>
                <w:sz w:val="24"/>
                <w:szCs w:val="24"/>
                <w:highlight w:val="none"/>
              </w:rPr>
              <w:t>投标人提出书面质疑的截止时间</w:t>
            </w:r>
          </w:p>
        </w:tc>
        <w:tc>
          <w:tcPr>
            <w:tcW w:w="6143" w:type="dxa"/>
            <w:vAlign w:val="center"/>
          </w:tcPr>
          <w:p>
            <w:pPr>
              <w:pStyle w:val="43"/>
              <w:tabs>
                <w:tab w:val="left" w:pos="1944"/>
                <w:tab w:val="left" w:pos="2679"/>
              </w:tabs>
              <w:snapToGrid w:val="0"/>
              <w:spacing w:before="157" w:line="460" w:lineRule="exact"/>
              <w:ind w:left="106"/>
              <w:textAlignment w:val="baseline"/>
              <w:rPr>
                <w:color w:val="auto"/>
                <w:sz w:val="24"/>
                <w:szCs w:val="24"/>
                <w:highlight w:val="none"/>
                <w:lang w:val="en-US"/>
              </w:rPr>
            </w:pPr>
            <w:r>
              <w:rPr>
                <w:rFonts w:hint="eastAsia"/>
                <w:color w:val="auto"/>
                <w:sz w:val="24"/>
                <w:szCs w:val="24"/>
                <w:highlight w:val="none"/>
              </w:rPr>
              <w:t>投标截止日</w:t>
            </w:r>
            <w:r>
              <w:rPr>
                <w:rFonts w:hint="eastAsia"/>
                <w:color w:val="auto"/>
                <w:sz w:val="24"/>
                <w:szCs w:val="24"/>
                <w:highlight w:val="none"/>
                <w:lang w:val="en-US"/>
              </w:rPr>
              <w:t>3天前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992" w:type="dxa"/>
            <w:vAlign w:val="center"/>
          </w:tcPr>
          <w:p>
            <w:pPr>
              <w:pStyle w:val="43"/>
              <w:snapToGrid w:val="0"/>
              <w:spacing w:line="460" w:lineRule="exact"/>
              <w:ind w:left="266" w:right="257"/>
              <w:jc w:val="center"/>
              <w:textAlignment w:val="baseline"/>
              <w:rPr>
                <w:color w:val="auto"/>
                <w:sz w:val="24"/>
                <w:szCs w:val="24"/>
                <w:highlight w:val="none"/>
              </w:rPr>
            </w:pPr>
            <w:r>
              <w:rPr>
                <w:rFonts w:hint="eastAsia"/>
                <w:color w:val="auto"/>
                <w:sz w:val="24"/>
                <w:szCs w:val="24"/>
                <w:highlight w:val="none"/>
              </w:rPr>
              <w:t>13</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招标人书面澄清的时间</w:t>
            </w:r>
          </w:p>
        </w:tc>
        <w:tc>
          <w:tcPr>
            <w:tcW w:w="6143" w:type="dxa"/>
          </w:tcPr>
          <w:p>
            <w:pPr>
              <w:pStyle w:val="43"/>
              <w:tabs>
                <w:tab w:val="left" w:pos="1944"/>
                <w:tab w:val="left" w:pos="2679"/>
              </w:tabs>
              <w:snapToGrid w:val="0"/>
              <w:spacing w:before="157" w:line="460" w:lineRule="exact"/>
              <w:ind w:left="106"/>
              <w:textAlignment w:val="baseline"/>
              <w:rPr>
                <w:color w:val="auto"/>
                <w:sz w:val="24"/>
                <w:szCs w:val="24"/>
                <w:highlight w:val="none"/>
              </w:rPr>
            </w:pPr>
            <w:r>
              <w:rPr>
                <w:rFonts w:hint="eastAsia"/>
                <w:color w:val="auto"/>
                <w:sz w:val="24"/>
                <w:szCs w:val="24"/>
                <w:highlight w:val="none"/>
              </w:rPr>
              <w:t>投标截止日</w:t>
            </w:r>
            <w:r>
              <w:rPr>
                <w:rFonts w:hint="eastAsia"/>
                <w:color w:val="auto"/>
                <w:sz w:val="24"/>
                <w:szCs w:val="24"/>
                <w:highlight w:val="none"/>
                <w:lang w:val="en-US"/>
              </w:rPr>
              <w:t>3天前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jc w:val="center"/>
        </w:trPr>
        <w:tc>
          <w:tcPr>
            <w:tcW w:w="992" w:type="dxa"/>
            <w:vAlign w:val="center"/>
          </w:tcPr>
          <w:p>
            <w:pPr>
              <w:pStyle w:val="43"/>
              <w:snapToGrid w:val="0"/>
              <w:spacing w:before="99" w:line="460" w:lineRule="exact"/>
              <w:ind w:left="266" w:right="257"/>
              <w:jc w:val="center"/>
              <w:textAlignment w:val="baseline"/>
              <w:rPr>
                <w:bCs/>
                <w:color w:val="auto"/>
                <w:sz w:val="24"/>
                <w:szCs w:val="24"/>
                <w:highlight w:val="none"/>
              </w:rPr>
            </w:pPr>
            <w:r>
              <w:rPr>
                <w:rFonts w:hint="eastAsia"/>
                <w:color w:val="auto"/>
                <w:sz w:val="24"/>
                <w:szCs w:val="24"/>
                <w:highlight w:val="none"/>
              </w:rPr>
              <w:t>14</w:t>
            </w:r>
          </w:p>
        </w:tc>
        <w:tc>
          <w:tcPr>
            <w:tcW w:w="2106" w:type="dxa"/>
            <w:vAlign w:val="center"/>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控制价</w:t>
            </w:r>
          </w:p>
        </w:tc>
        <w:tc>
          <w:tcPr>
            <w:tcW w:w="6143" w:type="dxa"/>
            <w:vAlign w:val="center"/>
          </w:tcPr>
          <w:p>
            <w:pPr>
              <w:snapToGrid w:val="0"/>
              <w:spacing w:line="460" w:lineRule="exact"/>
              <w:jc w:val="both"/>
              <w:textAlignment w:val="baseline"/>
              <w:rPr>
                <w:color w:val="auto"/>
                <w:sz w:val="24"/>
                <w:szCs w:val="24"/>
                <w:highlight w:val="none"/>
                <w:lang w:val="en-US"/>
              </w:rPr>
            </w:pPr>
            <w:r>
              <w:rPr>
                <w:rFonts w:hint="eastAsia"/>
                <w:color w:val="auto"/>
                <w:sz w:val="24"/>
                <w:szCs w:val="24"/>
                <w:highlight w:val="none"/>
                <w:lang w:val="en-US"/>
              </w:rPr>
              <w:t>控制价</w:t>
            </w:r>
            <w:r>
              <w:rPr>
                <w:rFonts w:hint="eastAsia"/>
                <w:color w:val="auto"/>
                <w:sz w:val="24"/>
                <w:szCs w:val="24"/>
                <w:highlight w:val="none"/>
              </w:rPr>
              <w:t>：本项目的招标控制价为</w:t>
            </w:r>
            <w:r>
              <w:rPr>
                <w:rFonts w:hint="eastAsia"/>
                <w:color w:val="auto"/>
                <w:sz w:val="24"/>
                <w:szCs w:val="24"/>
                <w:highlight w:val="none"/>
                <w:lang w:val="en-US" w:eastAsia="zh-CN"/>
              </w:rPr>
              <w:t>97万元</w:t>
            </w:r>
            <w:r>
              <w:rPr>
                <w:rFonts w:hint="eastAsia"/>
                <w:color w:val="auto"/>
                <w:sz w:val="24"/>
                <w:szCs w:val="24"/>
                <w:highlight w:val="none"/>
              </w:rPr>
              <w:t>，超过此控制价的投标报价均为无效报价。</w:t>
            </w:r>
            <w:r>
              <w:rPr>
                <w:rFonts w:hint="eastAsia"/>
                <w:color w:val="auto"/>
                <w:sz w:val="24"/>
                <w:szCs w:val="24"/>
                <w:highlight w:val="none"/>
                <w:lang w:val="en-US"/>
              </w:rPr>
              <w:t>采用全费用总价包干，</w:t>
            </w:r>
            <w:r>
              <w:rPr>
                <w:rFonts w:hint="eastAsia"/>
                <w:color w:val="auto"/>
                <w:sz w:val="24"/>
                <w:szCs w:val="24"/>
                <w:highlight w:val="none"/>
              </w:rPr>
              <w:t>包含人工安装、调试、运输、税金等一切与本项目相关的费用</w:t>
            </w:r>
            <w:r>
              <w:rPr>
                <w:rFonts w:hint="eastAsia"/>
                <w:color w:val="auto"/>
                <w:sz w:val="24"/>
                <w:szCs w:val="24"/>
                <w:highlight w:val="none"/>
                <w:lang w:val="en-US"/>
              </w:rPr>
              <w:t>，一旦中标投标总价均不予调整。投标人自行考虑投标报价。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2" w:type="dxa"/>
            <w:vAlign w:val="center"/>
          </w:tcPr>
          <w:p>
            <w:pPr>
              <w:pStyle w:val="43"/>
              <w:snapToGrid w:val="0"/>
              <w:spacing w:before="99"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15</w:t>
            </w:r>
          </w:p>
        </w:tc>
        <w:tc>
          <w:tcPr>
            <w:tcW w:w="2106"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付款方式</w:t>
            </w:r>
          </w:p>
        </w:tc>
        <w:tc>
          <w:tcPr>
            <w:tcW w:w="6143"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合同签订后，甲方支付合同总价款的30%作为定金。乙方根据甲方的要求送达到指定地点，安装调试完成，并经过现场验收合格后，支付至合同金额的95%，留本合同结算总价款的5%作为质保金，质保期满一次无息付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2" w:type="dxa"/>
            <w:vAlign w:val="center"/>
          </w:tcPr>
          <w:p>
            <w:pPr>
              <w:pStyle w:val="43"/>
              <w:snapToGrid w:val="0"/>
              <w:spacing w:before="99" w:line="460" w:lineRule="exact"/>
              <w:ind w:right="257"/>
              <w:jc w:val="center"/>
              <w:textAlignment w:val="baseline"/>
              <w:rPr>
                <w:color w:val="auto"/>
                <w:sz w:val="24"/>
                <w:szCs w:val="24"/>
                <w:highlight w:val="none"/>
              </w:rPr>
            </w:pPr>
            <w:r>
              <w:rPr>
                <w:rFonts w:hint="eastAsia"/>
                <w:color w:val="auto"/>
                <w:sz w:val="24"/>
                <w:szCs w:val="24"/>
                <w:highlight w:val="none"/>
                <w:lang w:val="en-US"/>
              </w:rPr>
              <w:t>16</w:t>
            </w:r>
          </w:p>
        </w:tc>
        <w:tc>
          <w:tcPr>
            <w:tcW w:w="2106" w:type="dxa"/>
            <w:vAlign w:val="center"/>
          </w:tcPr>
          <w:p>
            <w:pPr>
              <w:pStyle w:val="43"/>
              <w:snapToGrid w:val="0"/>
              <w:spacing w:before="99" w:line="460" w:lineRule="exact"/>
              <w:ind w:left="125" w:right="117"/>
              <w:jc w:val="both"/>
              <w:textAlignment w:val="baseline"/>
              <w:rPr>
                <w:color w:val="auto"/>
                <w:sz w:val="24"/>
                <w:szCs w:val="24"/>
                <w:highlight w:val="none"/>
              </w:rPr>
            </w:pPr>
            <w:r>
              <w:rPr>
                <w:rFonts w:hint="eastAsia"/>
                <w:color w:val="auto"/>
                <w:sz w:val="24"/>
                <w:szCs w:val="24"/>
                <w:highlight w:val="none"/>
              </w:rPr>
              <w:t>投标有效期</w:t>
            </w:r>
          </w:p>
        </w:tc>
        <w:tc>
          <w:tcPr>
            <w:tcW w:w="6143"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60</w:t>
            </w:r>
            <w:r>
              <w:rPr>
                <w:rFonts w:hint="eastAsia"/>
                <w:color w:val="auto"/>
                <w:sz w:val="24"/>
                <w:szCs w:val="24"/>
                <w:highlight w:val="none"/>
              </w:rPr>
              <w:t>天(从投标截止之日算起)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17</w:t>
            </w:r>
          </w:p>
        </w:tc>
        <w:tc>
          <w:tcPr>
            <w:tcW w:w="2106" w:type="dxa"/>
            <w:vAlign w:val="center"/>
          </w:tcPr>
          <w:p>
            <w:pPr>
              <w:pStyle w:val="43"/>
              <w:snapToGrid w:val="0"/>
              <w:spacing w:before="176" w:line="460" w:lineRule="exact"/>
              <w:ind w:left="106"/>
              <w:jc w:val="both"/>
              <w:textAlignment w:val="baseline"/>
              <w:rPr>
                <w:color w:val="auto"/>
                <w:sz w:val="24"/>
                <w:szCs w:val="24"/>
                <w:highlight w:val="none"/>
              </w:rPr>
            </w:pPr>
            <w:r>
              <w:rPr>
                <w:color w:val="auto"/>
                <w:sz w:val="24"/>
                <w:szCs w:val="24"/>
                <w:highlight w:val="none"/>
              </w:rPr>
              <w:t>投标文件份数</w:t>
            </w:r>
          </w:p>
        </w:tc>
        <w:tc>
          <w:tcPr>
            <w:tcW w:w="6143" w:type="dxa"/>
            <w:vAlign w:val="center"/>
          </w:tcPr>
          <w:p>
            <w:pPr>
              <w:pStyle w:val="43"/>
              <w:snapToGrid w:val="0"/>
              <w:spacing w:before="10" w:line="460" w:lineRule="exact"/>
              <w:ind w:left="106" w:right="98"/>
              <w:jc w:val="both"/>
              <w:textAlignment w:val="baseline"/>
              <w:rPr>
                <w:color w:val="auto"/>
                <w:sz w:val="24"/>
                <w:szCs w:val="24"/>
                <w:highlight w:val="none"/>
              </w:rPr>
            </w:pPr>
            <w:r>
              <w:rPr>
                <w:rFonts w:hint="eastAsia"/>
                <w:color w:val="auto"/>
                <w:spacing w:val="-7"/>
                <w:sz w:val="24"/>
                <w:szCs w:val="24"/>
                <w:highlight w:val="none"/>
              </w:rPr>
              <w:t>已加盖公章的电子加密投标文件（PDF格式）一份，中标后需提供与电子文件相同的纸质版投标文件正本1份，副本</w:t>
            </w:r>
            <w:r>
              <w:rPr>
                <w:rFonts w:hint="eastAsia"/>
                <w:color w:val="auto"/>
                <w:spacing w:val="-7"/>
                <w:sz w:val="24"/>
                <w:szCs w:val="24"/>
                <w:highlight w:val="none"/>
                <w:lang w:val="en-US"/>
              </w:rPr>
              <w:t>2</w:t>
            </w:r>
            <w:r>
              <w:rPr>
                <w:rFonts w:hint="eastAsia"/>
                <w:color w:val="auto"/>
                <w:spacing w:val="-7"/>
                <w:sz w:val="24"/>
                <w:szCs w:val="24"/>
                <w:highlight w:val="none"/>
              </w:rPr>
              <w:t>份（</w:t>
            </w:r>
            <w:r>
              <w:rPr>
                <w:rFonts w:hint="eastAsia"/>
                <w:bCs/>
                <w:color w:val="auto"/>
                <w:sz w:val="24"/>
                <w:szCs w:val="24"/>
                <w:highlight w:val="none"/>
              </w:rPr>
              <w:t>使用胶装装订，不得使用活页装订</w:t>
            </w:r>
            <w:r>
              <w:rPr>
                <w:rFonts w:hint="eastAsia"/>
                <w:color w:val="auto"/>
                <w:spacing w:val="-7"/>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18</w:t>
            </w:r>
          </w:p>
        </w:tc>
        <w:tc>
          <w:tcPr>
            <w:tcW w:w="2106" w:type="dxa"/>
            <w:vAlign w:val="center"/>
          </w:tcPr>
          <w:p>
            <w:pPr>
              <w:pStyle w:val="43"/>
              <w:snapToGrid w:val="0"/>
              <w:spacing w:line="460" w:lineRule="exact"/>
              <w:ind w:right="92"/>
              <w:jc w:val="both"/>
              <w:textAlignment w:val="baseline"/>
              <w:rPr>
                <w:color w:val="auto"/>
                <w:sz w:val="24"/>
                <w:szCs w:val="24"/>
                <w:highlight w:val="none"/>
              </w:rPr>
            </w:pPr>
            <w:r>
              <w:rPr>
                <w:rFonts w:hint="eastAsia"/>
                <w:color w:val="auto"/>
                <w:sz w:val="24"/>
                <w:szCs w:val="24"/>
                <w:highlight w:val="none"/>
              </w:rPr>
              <w:t>签字和（或）盖章要求</w:t>
            </w:r>
          </w:p>
        </w:tc>
        <w:tc>
          <w:tcPr>
            <w:tcW w:w="6143" w:type="dxa"/>
            <w:vAlign w:val="center"/>
          </w:tcPr>
          <w:p>
            <w:pPr>
              <w:pStyle w:val="43"/>
              <w:snapToGrid w:val="0"/>
              <w:spacing w:line="460" w:lineRule="exact"/>
              <w:ind w:left="106"/>
              <w:jc w:val="both"/>
              <w:textAlignment w:val="baseline"/>
              <w:rPr>
                <w:bCs/>
                <w:color w:val="auto"/>
                <w:sz w:val="24"/>
                <w:szCs w:val="24"/>
                <w:highlight w:val="none"/>
              </w:rPr>
            </w:pPr>
            <w:r>
              <w:rPr>
                <w:rFonts w:hint="eastAsia"/>
                <w:bCs/>
                <w:color w:val="auto"/>
                <w:spacing w:val="-5"/>
                <w:sz w:val="24"/>
                <w:szCs w:val="24"/>
                <w:highlight w:val="none"/>
              </w:rPr>
              <w:t>投标文件必须按招标文件规定的格式要求签字或盖章。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992" w:type="dxa"/>
            <w:vAlign w:val="center"/>
          </w:tcPr>
          <w:p>
            <w:pPr>
              <w:pStyle w:val="43"/>
              <w:snapToGrid w:val="0"/>
              <w:spacing w:before="176"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19</w:t>
            </w:r>
          </w:p>
        </w:tc>
        <w:tc>
          <w:tcPr>
            <w:tcW w:w="2106" w:type="dxa"/>
            <w:vAlign w:val="center"/>
          </w:tcPr>
          <w:p>
            <w:pPr>
              <w:pStyle w:val="43"/>
              <w:snapToGrid w:val="0"/>
              <w:spacing w:before="49" w:line="460" w:lineRule="exact"/>
              <w:ind w:left="106" w:right="92"/>
              <w:jc w:val="both"/>
              <w:textAlignment w:val="baseline"/>
              <w:rPr>
                <w:color w:val="auto"/>
                <w:sz w:val="24"/>
                <w:szCs w:val="24"/>
                <w:highlight w:val="none"/>
              </w:rPr>
            </w:pPr>
            <w:r>
              <w:rPr>
                <w:color w:val="auto"/>
                <w:sz w:val="24"/>
                <w:szCs w:val="24"/>
                <w:highlight w:val="none"/>
              </w:rPr>
              <w:t>投标文件递交截止时间</w:t>
            </w:r>
          </w:p>
        </w:tc>
        <w:tc>
          <w:tcPr>
            <w:tcW w:w="6143" w:type="dxa"/>
            <w:vAlign w:val="center"/>
          </w:tcPr>
          <w:p>
            <w:pPr>
              <w:pStyle w:val="43"/>
              <w:tabs>
                <w:tab w:val="left" w:pos="1944"/>
                <w:tab w:val="left" w:pos="2784"/>
                <w:tab w:val="left" w:pos="4150"/>
              </w:tabs>
              <w:snapToGrid w:val="0"/>
              <w:spacing w:before="49" w:line="460" w:lineRule="exact"/>
              <w:ind w:left="106"/>
              <w:jc w:val="both"/>
              <w:textAlignment w:val="baseline"/>
              <w:rPr>
                <w:color w:val="auto"/>
                <w:sz w:val="24"/>
                <w:szCs w:val="24"/>
                <w:highlight w:val="none"/>
              </w:rPr>
            </w:pPr>
            <w:r>
              <w:rPr>
                <w:color w:val="auto"/>
                <w:sz w:val="24"/>
                <w:szCs w:val="24"/>
                <w:highlight w:val="none"/>
              </w:rPr>
              <w:t>时间：</w:t>
            </w:r>
            <w:r>
              <w:rPr>
                <w:rFonts w:hint="eastAsia"/>
                <w:color w:val="auto"/>
                <w:sz w:val="24"/>
                <w:szCs w:val="24"/>
                <w:highlight w:val="none"/>
                <w:u w:val="single"/>
              </w:rPr>
              <w:t>2021年</w:t>
            </w:r>
            <w:r>
              <w:rPr>
                <w:rFonts w:hint="eastAsia"/>
                <w:color w:val="auto"/>
                <w:sz w:val="24"/>
                <w:szCs w:val="24"/>
                <w:highlight w:val="none"/>
                <w:u w:val="single"/>
                <w:lang w:val="en-US" w:eastAsia="zh-CN"/>
              </w:rPr>
              <w:t>11</w:t>
            </w:r>
            <w:r>
              <w:rPr>
                <w:rFonts w:hint="eastAsia"/>
                <w:color w:val="auto"/>
                <w:sz w:val="24"/>
                <w:szCs w:val="24"/>
                <w:highlight w:val="none"/>
                <w:u w:val="single"/>
              </w:rPr>
              <w:t>月</w:t>
            </w:r>
            <w:r>
              <w:rPr>
                <w:rFonts w:hint="eastAsia"/>
                <w:color w:val="auto"/>
                <w:sz w:val="24"/>
                <w:szCs w:val="24"/>
                <w:highlight w:val="none"/>
                <w:u w:val="single"/>
                <w:lang w:val="en-US" w:eastAsia="zh-CN"/>
              </w:rPr>
              <w:t>1</w:t>
            </w:r>
            <w:r>
              <w:rPr>
                <w:rFonts w:hint="eastAsia"/>
                <w:color w:val="auto"/>
                <w:sz w:val="24"/>
                <w:szCs w:val="24"/>
                <w:highlight w:val="none"/>
                <w:u w:val="single"/>
              </w:rPr>
              <w:t>日</w:t>
            </w:r>
            <w:r>
              <w:rPr>
                <w:color w:val="auto"/>
                <w:sz w:val="24"/>
                <w:szCs w:val="24"/>
                <w:highlight w:val="none"/>
              </w:rPr>
              <w:t xml:space="preserve"> </w:t>
            </w:r>
            <w:r>
              <w:rPr>
                <w:rFonts w:hint="eastAsia"/>
                <w:color w:val="auto"/>
                <w:sz w:val="24"/>
                <w:szCs w:val="24"/>
                <w:highlight w:val="none"/>
                <w:lang w:val="en-US" w:eastAsia="zh-CN"/>
              </w:rPr>
              <w:t>14</w:t>
            </w:r>
            <w:r>
              <w:rPr>
                <w:rFonts w:hint="eastAsia"/>
                <w:color w:val="auto"/>
                <w:sz w:val="24"/>
                <w:szCs w:val="24"/>
                <w:highlight w:val="none"/>
                <w:u w:val="single"/>
                <w:lang w:val="en-US"/>
              </w:rPr>
              <w:t>点00</w:t>
            </w:r>
            <w:r>
              <w:rPr>
                <w:rFonts w:hint="eastAsia"/>
                <w:color w:val="auto"/>
                <w:spacing w:val="-3"/>
                <w:sz w:val="24"/>
                <w:szCs w:val="24"/>
                <w:highlight w:val="none"/>
                <w:lang w:val="en-US"/>
              </w:rPr>
              <w:t>分</w:t>
            </w:r>
            <w:r>
              <w:rPr>
                <w:color w:val="auto"/>
                <w:sz w:val="24"/>
                <w:szCs w:val="24"/>
                <w:highlight w:val="none"/>
              </w:rPr>
              <w:t>前</w:t>
            </w:r>
            <w:r>
              <w:rPr>
                <w:rFonts w:hint="eastAsia"/>
                <w:color w:val="auto"/>
                <w:sz w:val="24"/>
                <w:szCs w:val="24"/>
                <w:highlight w:val="none"/>
              </w:rPr>
              <w:t>（开标时间）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20</w:t>
            </w:r>
          </w:p>
        </w:tc>
        <w:tc>
          <w:tcPr>
            <w:tcW w:w="2106" w:type="dxa"/>
          </w:tcPr>
          <w:p>
            <w:pPr>
              <w:pStyle w:val="43"/>
              <w:snapToGrid w:val="0"/>
              <w:spacing w:line="460" w:lineRule="exact"/>
              <w:textAlignment w:val="baseline"/>
              <w:rPr>
                <w:color w:val="auto"/>
                <w:sz w:val="24"/>
                <w:szCs w:val="24"/>
                <w:highlight w:val="none"/>
              </w:rPr>
            </w:pPr>
            <w:r>
              <w:rPr>
                <w:color w:val="auto"/>
                <w:sz w:val="24"/>
                <w:szCs w:val="24"/>
                <w:highlight w:val="none"/>
              </w:rPr>
              <w:t>评标委员会的组建</w:t>
            </w:r>
          </w:p>
        </w:tc>
        <w:tc>
          <w:tcPr>
            <w:tcW w:w="6143" w:type="dxa"/>
          </w:tcPr>
          <w:p>
            <w:pPr>
              <w:pStyle w:val="43"/>
              <w:snapToGrid w:val="0"/>
              <w:spacing w:before="46" w:line="460" w:lineRule="exact"/>
              <w:ind w:left="106"/>
              <w:textAlignment w:val="baseline"/>
              <w:rPr>
                <w:color w:val="auto"/>
                <w:sz w:val="24"/>
                <w:szCs w:val="24"/>
                <w:highlight w:val="none"/>
              </w:rPr>
            </w:pPr>
            <w:r>
              <w:rPr>
                <w:color w:val="auto"/>
                <w:sz w:val="24"/>
                <w:szCs w:val="24"/>
                <w:highlight w:val="none"/>
              </w:rPr>
              <w:t>评标委员会构成：由</w:t>
            </w:r>
            <w:r>
              <w:rPr>
                <w:rFonts w:hint="eastAsia"/>
                <w:color w:val="auto"/>
                <w:sz w:val="24"/>
                <w:szCs w:val="24"/>
                <w:highlight w:val="none"/>
                <w:u w:val="single"/>
                <w:lang w:val="en-US"/>
              </w:rPr>
              <w:t>3</w:t>
            </w:r>
            <w:r>
              <w:rPr>
                <w:color w:val="auto"/>
                <w:sz w:val="24"/>
                <w:szCs w:val="24"/>
                <w:highlight w:val="none"/>
              </w:rPr>
              <w:t>人组成，其中专家</w:t>
            </w:r>
            <w:r>
              <w:rPr>
                <w:rFonts w:hint="eastAsia"/>
                <w:color w:val="auto"/>
                <w:sz w:val="24"/>
                <w:szCs w:val="24"/>
                <w:highlight w:val="none"/>
                <w:u w:val="single"/>
                <w:lang w:val="en-US"/>
              </w:rPr>
              <w:t>2</w:t>
            </w:r>
            <w:r>
              <w:rPr>
                <w:color w:val="auto"/>
                <w:sz w:val="24"/>
                <w:szCs w:val="24"/>
                <w:highlight w:val="none"/>
              </w:rPr>
              <w:t>人，招标人代表</w:t>
            </w:r>
            <w:r>
              <w:rPr>
                <w:color w:val="auto"/>
                <w:sz w:val="24"/>
                <w:szCs w:val="24"/>
                <w:highlight w:val="none"/>
                <w:u w:val="single"/>
              </w:rPr>
              <w:t xml:space="preserve"> 1</w:t>
            </w:r>
            <w:r>
              <w:rPr>
                <w:color w:val="auto"/>
                <w:sz w:val="24"/>
                <w:szCs w:val="24"/>
                <w:highlight w:val="none"/>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color w:val="auto"/>
                <w:sz w:val="24"/>
                <w:szCs w:val="24"/>
                <w:highlight w:val="none"/>
              </w:rPr>
              <w:t>2</w:t>
            </w:r>
            <w:r>
              <w:rPr>
                <w:rFonts w:hint="eastAsia"/>
                <w:color w:val="auto"/>
                <w:sz w:val="24"/>
                <w:szCs w:val="24"/>
                <w:highlight w:val="none"/>
                <w:lang w:val="en-US"/>
              </w:rPr>
              <w:t>1</w:t>
            </w:r>
          </w:p>
        </w:tc>
        <w:tc>
          <w:tcPr>
            <w:tcW w:w="2106" w:type="dxa"/>
            <w:vAlign w:val="center"/>
          </w:tcPr>
          <w:p>
            <w:pPr>
              <w:pStyle w:val="43"/>
              <w:snapToGrid w:val="0"/>
              <w:spacing w:before="46" w:line="460" w:lineRule="exact"/>
              <w:ind w:left="106"/>
              <w:jc w:val="center"/>
              <w:textAlignment w:val="baseline"/>
              <w:rPr>
                <w:color w:val="auto"/>
                <w:sz w:val="24"/>
                <w:szCs w:val="24"/>
                <w:highlight w:val="none"/>
              </w:rPr>
            </w:pPr>
            <w:r>
              <w:rPr>
                <w:color w:val="auto"/>
                <w:sz w:val="24"/>
                <w:szCs w:val="24"/>
                <w:highlight w:val="none"/>
              </w:rPr>
              <w:t>是否授权评标委员会确定中标人</w:t>
            </w:r>
          </w:p>
        </w:tc>
        <w:tc>
          <w:tcPr>
            <w:tcW w:w="6143" w:type="dxa"/>
            <w:vAlign w:val="center"/>
          </w:tcPr>
          <w:p>
            <w:pPr>
              <w:pStyle w:val="43"/>
              <w:snapToGrid w:val="0"/>
              <w:spacing w:line="460" w:lineRule="exact"/>
              <w:textAlignment w:val="baseline"/>
              <w:rPr>
                <w:color w:val="auto"/>
                <w:sz w:val="24"/>
                <w:szCs w:val="24"/>
                <w:highlight w:val="none"/>
              </w:rPr>
            </w:pPr>
            <w:r>
              <w:rPr>
                <w:color w:val="auto"/>
                <w:sz w:val="24"/>
                <w:szCs w:val="24"/>
                <w:highlight w:val="none"/>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rFonts w:hint="eastAsia"/>
                <w:color w:val="auto"/>
                <w:sz w:val="24"/>
                <w:szCs w:val="24"/>
                <w:highlight w:val="none"/>
                <w:lang w:val="en-US"/>
              </w:rPr>
              <w:t>22</w:t>
            </w:r>
          </w:p>
        </w:tc>
        <w:tc>
          <w:tcPr>
            <w:tcW w:w="2106" w:type="dxa"/>
            <w:vAlign w:val="center"/>
          </w:tcPr>
          <w:p>
            <w:pPr>
              <w:snapToGrid w:val="0"/>
              <w:spacing w:line="460" w:lineRule="exact"/>
              <w:jc w:val="center"/>
              <w:textAlignment w:val="baseline"/>
              <w:rPr>
                <w:color w:val="auto"/>
                <w:sz w:val="24"/>
                <w:szCs w:val="24"/>
                <w:highlight w:val="none"/>
              </w:rPr>
            </w:pPr>
            <w:r>
              <w:rPr>
                <w:rFonts w:hint="eastAsia"/>
                <w:color w:val="auto"/>
                <w:sz w:val="24"/>
                <w:szCs w:val="24"/>
                <w:highlight w:val="none"/>
              </w:rPr>
              <w:t>招标文件编制费支付说明</w:t>
            </w:r>
          </w:p>
        </w:tc>
        <w:tc>
          <w:tcPr>
            <w:tcW w:w="6143" w:type="dxa"/>
            <w:vAlign w:val="center"/>
          </w:tcPr>
          <w:p>
            <w:pPr>
              <w:snapToGrid w:val="0"/>
              <w:spacing w:line="460" w:lineRule="exact"/>
              <w:textAlignment w:val="baseline"/>
              <w:rPr>
                <w:color w:val="auto"/>
                <w:sz w:val="24"/>
                <w:szCs w:val="24"/>
                <w:highlight w:val="none"/>
                <w:lang w:val="en-US"/>
              </w:rPr>
            </w:pPr>
            <w:r>
              <w:rPr>
                <w:rFonts w:hint="eastAsia"/>
                <w:color w:val="auto"/>
                <w:sz w:val="24"/>
                <w:szCs w:val="24"/>
                <w:highlight w:val="none"/>
                <w:lang w:val="en-US"/>
              </w:rPr>
              <w:t>1.招标文件300元/份，于投标截止时间前转至公司账户</w:t>
            </w:r>
            <w:r>
              <w:rPr>
                <w:rFonts w:hint="eastAsia"/>
                <w:color w:val="auto"/>
                <w:sz w:val="24"/>
                <w:szCs w:val="24"/>
                <w:highlight w:val="none"/>
                <w:lang w:val="en-US"/>
              </w:rPr>
              <w:t>。</w:t>
            </w:r>
          </w:p>
          <w:p>
            <w:pPr>
              <w:snapToGrid w:val="0"/>
              <w:spacing w:line="460" w:lineRule="exact"/>
              <w:textAlignment w:val="baseline"/>
              <w:rPr>
                <w:color w:val="auto"/>
                <w:sz w:val="24"/>
                <w:szCs w:val="24"/>
                <w:highlight w:val="none"/>
                <w:lang w:val="en-US"/>
              </w:rPr>
            </w:pPr>
            <w:r>
              <w:rPr>
                <w:rFonts w:hint="eastAsia"/>
                <w:color w:val="auto"/>
                <w:sz w:val="24"/>
                <w:szCs w:val="24"/>
                <w:highlight w:val="none"/>
                <w:lang w:val="en-US"/>
              </w:rPr>
              <w:t>2.开标前按以下账户缴纳并将汇款凭证同投标文件一同递交，否则作无效投标处理：</w:t>
            </w:r>
          </w:p>
          <w:p>
            <w:pPr>
              <w:snapToGrid w:val="0"/>
              <w:spacing w:line="460" w:lineRule="exact"/>
              <w:textAlignment w:val="baseline"/>
              <w:rPr>
                <w:b/>
                <w:bCs/>
                <w:color w:val="auto"/>
                <w:sz w:val="24"/>
                <w:szCs w:val="24"/>
                <w:highlight w:val="none"/>
                <w:lang w:val="en-US"/>
              </w:rPr>
            </w:pPr>
            <w:r>
              <w:rPr>
                <w:rFonts w:hint="eastAsia"/>
                <w:b/>
                <w:bCs/>
                <w:color w:val="auto"/>
                <w:sz w:val="24"/>
                <w:szCs w:val="24"/>
                <w:highlight w:val="none"/>
                <w:lang w:val="en-US"/>
              </w:rPr>
              <w:t>户名：湖北城发设计咨询集团有限公司</w:t>
            </w:r>
          </w:p>
          <w:p>
            <w:pPr>
              <w:snapToGrid w:val="0"/>
              <w:spacing w:line="460" w:lineRule="exact"/>
              <w:textAlignment w:val="baseline"/>
              <w:rPr>
                <w:b/>
                <w:bCs/>
                <w:color w:val="auto"/>
                <w:sz w:val="24"/>
                <w:szCs w:val="24"/>
                <w:highlight w:val="none"/>
                <w:lang w:val="en-US"/>
              </w:rPr>
            </w:pPr>
            <w:r>
              <w:rPr>
                <w:rFonts w:hint="eastAsia"/>
                <w:b/>
                <w:bCs/>
                <w:color w:val="auto"/>
                <w:sz w:val="24"/>
                <w:szCs w:val="24"/>
                <w:highlight w:val="none"/>
                <w:lang w:val="en-US"/>
              </w:rPr>
              <w:t>账号：714902863410888</w:t>
            </w:r>
          </w:p>
          <w:p>
            <w:pPr>
              <w:snapToGrid w:val="0"/>
              <w:spacing w:line="460" w:lineRule="exact"/>
              <w:textAlignment w:val="baseline"/>
              <w:rPr>
                <w:color w:val="auto"/>
                <w:sz w:val="24"/>
                <w:szCs w:val="24"/>
                <w:highlight w:val="none"/>
              </w:rPr>
            </w:pPr>
            <w:r>
              <w:rPr>
                <w:rFonts w:hint="eastAsia"/>
                <w:b/>
                <w:bCs/>
                <w:color w:val="auto"/>
                <w:sz w:val="24"/>
                <w:szCs w:val="24"/>
                <w:highlight w:val="none"/>
              </w:rPr>
              <w:t>开户行：招商银行股份有限公司黄石分行经营部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center"/>
              <w:textAlignment w:val="baseline"/>
              <w:rPr>
                <w:rFonts w:hint="eastAsia" w:eastAsia="宋体"/>
                <w:color w:val="auto"/>
                <w:sz w:val="24"/>
                <w:szCs w:val="24"/>
                <w:highlight w:val="none"/>
                <w:lang w:val="en-US" w:eastAsia="zh-CN"/>
              </w:rPr>
            </w:pPr>
            <w:r>
              <w:rPr>
                <w:rFonts w:hint="eastAsia"/>
                <w:color w:val="auto"/>
                <w:sz w:val="24"/>
                <w:szCs w:val="24"/>
                <w:highlight w:val="none"/>
                <w:lang w:val="en-US"/>
              </w:rPr>
              <w:t>2</w:t>
            </w:r>
            <w:r>
              <w:rPr>
                <w:rFonts w:hint="eastAsia"/>
                <w:color w:val="auto"/>
                <w:sz w:val="24"/>
                <w:szCs w:val="24"/>
                <w:highlight w:val="none"/>
                <w:lang w:val="en-US" w:eastAsia="zh-CN"/>
              </w:rPr>
              <w:t>3</w:t>
            </w:r>
          </w:p>
        </w:tc>
        <w:tc>
          <w:tcPr>
            <w:tcW w:w="2106" w:type="dxa"/>
            <w:vAlign w:val="center"/>
          </w:tcPr>
          <w:p>
            <w:pPr>
              <w:snapToGrid w:val="0"/>
              <w:spacing w:line="460" w:lineRule="exact"/>
              <w:jc w:val="center"/>
              <w:textAlignment w:val="baseline"/>
              <w:rPr>
                <w:color w:val="auto"/>
                <w:sz w:val="24"/>
                <w:szCs w:val="24"/>
                <w:highlight w:val="none"/>
              </w:rPr>
            </w:pPr>
            <w:r>
              <w:rPr>
                <w:rFonts w:hint="eastAsia"/>
                <w:color w:val="auto"/>
                <w:sz w:val="24"/>
                <w:szCs w:val="24"/>
                <w:highlight w:val="none"/>
              </w:rPr>
              <w:t>招标代理服务费收取方式和标准</w:t>
            </w:r>
          </w:p>
        </w:tc>
        <w:tc>
          <w:tcPr>
            <w:tcW w:w="6143" w:type="dxa"/>
            <w:vAlign w:val="center"/>
          </w:tcPr>
          <w:p>
            <w:pPr>
              <w:pStyle w:val="43"/>
              <w:spacing w:before="23" w:line="274" w:lineRule="exact"/>
              <w:ind w:left="106"/>
              <w:rPr>
                <w:color w:val="auto"/>
                <w:sz w:val="24"/>
                <w:szCs w:val="24"/>
                <w:highlight w:val="none"/>
              </w:rPr>
            </w:pPr>
            <w:r>
              <w:rPr>
                <w:color w:val="auto"/>
                <w:sz w:val="24"/>
                <w:szCs w:val="24"/>
                <w:highlight w:val="none"/>
              </w:rPr>
              <w:t>根据</w:t>
            </w:r>
            <w:r>
              <w:rPr>
                <w:rFonts w:hint="eastAsia"/>
                <w:color w:val="auto"/>
                <w:sz w:val="24"/>
                <w:szCs w:val="24"/>
                <w:highlight w:val="none"/>
              </w:rPr>
              <w:t>招标</w:t>
            </w:r>
            <w:r>
              <w:rPr>
                <w:color w:val="auto"/>
                <w:sz w:val="24"/>
                <w:szCs w:val="24"/>
                <w:highlight w:val="none"/>
              </w:rPr>
              <w:t>人和</w:t>
            </w:r>
            <w:r>
              <w:rPr>
                <w:rFonts w:hint="eastAsia"/>
                <w:color w:val="auto"/>
                <w:sz w:val="24"/>
                <w:szCs w:val="24"/>
                <w:highlight w:val="none"/>
              </w:rPr>
              <w:t>招标</w:t>
            </w:r>
            <w:r>
              <w:rPr>
                <w:color w:val="auto"/>
                <w:sz w:val="24"/>
                <w:szCs w:val="24"/>
                <w:highlight w:val="none"/>
              </w:rPr>
              <w:t>代理机构签署的委托代理协议书约定：</w:t>
            </w:r>
          </w:p>
          <w:p>
            <w:pPr>
              <w:pStyle w:val="43"/>
              <w:tabs>
                <w:tab w:val="left" w:pos="3723"/>
              </w:tabs>
              <w:spacing w:line="274" w:lineRule="exact"/>
              <w:ind w:left="106"/>
              <w:rPr>
                <w:rFonts w:hint="eastAsia" w:eastAsia="宋体"/>
                <w:color w:val="auto"/>
                <w:sz w:val="24"/>
                <w:szCs w:val="24"/>
                <w:highlight w:val="none"/>
                <w:lang w:val="en-US" w:eastAsia="zh-CN"/>
              </w:rPr>
            </w:pPr>
            <w:r>
              <w:rPr>
                <w:color w:val="auto"/>
                <w:sz w:val="24"/>
                <w:szCs w:val="24"/>
                <w:highlight w:val="none"/>
              </w:rPr>
              <w:t>1）</w:t>
            </w:r>
            <w:r>
              <w:rPr>
                <w:color w:val="auto"/>
                <w:spacing w:val="-3"/>
                <w:sz w:val="24"/>
                <w:szCs w:val="24"/>
                <w:highlight w:val="none"/>
              </w:rPr>
              <w:t>招</w:t>
            </w:r>
            <w:r>
              <w:rPr>
                <w:color w:val="auto"/>
                <w:sz w:val="24"/>
                <w:szCs w:val="24"/>
                <w:highlight w:val="none"/>
              </w:rPr>
              <w:t>标</w:t>
            </w:r>
            <w:r>
              <w:rPr>
                <w:color w:val="auto"/>
                <w:spacing w:val="-3"/>
                <w:sz w:val="24"/>
                <w:szCs w:val="24"/>
                <w:highlight w:val="none"/>
              </w:rPr>
              <w:t>代</w:t>
            </w:r>
            <w:r>
              <w:rPr>
                <w:color w:val="auto"/>
                <w:sz w:val="24"/>
                <w:szCs w:val="24"/>
                <w:highlight w:val="none"/>
              </w:rPr>
              <w:t>理</w:t>
            </w:r>
            <w:r>
              <w:rPr>
                <w:color w:val="auto"/>
                <w:spacing w:val="-3"/>
                <w:sz w:val="24"/>
                <w:szCs w:val="24"/>
                <w:highlight w:val="none"/>
              </w:rPr>
              <w:t>服</w:t>
            </w:r>
            <w:r>
              <w:rPr>
                <w:color w:val="auto"/>
                <w:sz w:val="24"/>
                <w:szCs w:val="24"/>
                <w:highlight w:val="none"/>
              </w:rPr>
              <w:t>务</w:t>
            </w:r>
            <w:r>
              <w:rPr>
                <w:color w:val="auto"/>
                <w:spacing w:val="-3"/>
                <w:sz w:val="24"/>
                <w:szCs w:val="24"/>
                <w:highlight w:val="none"/>
              </w:rPr>
              <w:t>费</w:t>
            </w:r>
            <w:r>
              <w:rPr>
                <w:color w:val="auto"/>
                <w:spacing w:val="7"/>
                <w:sz w:val="24"/>
                <w:szCs w:val="24"/>
                <w:highlight w:val="none"/>
              </w:rPr>
              <w:t>：</w:t>
            </w:r>
            <w:r>
              <w:rPr>
                <w:color w:val="auto"/>
                <w:spacing w:val="-3"/>
                <w:sz w:val="24"/>
                <w:szCs w:val="24"/>
                <w:highlight w:val="none"/>
              </w:rPr>
              <w:t>由</w:t>
            </w:r>
            <w:r>
              <w:rPr>
                <w:color w:val="auto"/>
                <w:sz w:val="24"/>
                <w:szCs w:val="24"/>
                <w:highlight w:val="none"/>
              </w:rPr>
              <w:t>中标</w:t>
            </w:r>
            <w:r>
              <w:rPr>
                <w:color w:val="auto"/>
                <w:spacing w:val="-3"/>
                <w:sz w:val="24"/>
                <w:szCs w:val="24"/>
                <w:highlight w:val="none"/>
              </w:rPr>
              <w:t>人</w:t>
            </w:r>
            <w:r>
              <w:rPr>
                <w:color w:val="auto"/>
                <w:sz w:val="24"/>
                <w:szCs w:val="24"/>
                <w:highlight w:val="none"/>
              </w:rPr>
              <w:t>支付</w:t>
            </w:r>
            <w:r>
              <w:rPr>
                <w:rFonts w:hint="eastAsia"/>
                <w:color w:val="auto"/>
                <w:sz w:val="24"/>
                <w:szCs w:val="24"/>
                <w:highlight w:val="none"/>
                <w:lang w:eastAsia="zh-CN"/>
              </w:rPr>
              <w:t>。</w:t>
            </w:r>
          </w:p>
          <w:p>
            <w:pPr>
              <w:pStyle w:val="43"/>
              <w:spacing w:line="272" w:lineRule="exact"/>
              <w:ind w:left="106"/>
              <w:rPr>
                <w:color w:val="auto"/>
                <w:sz w:val="24"/>
                <w:szCs w:val="24"/>
                <w:highlight w:val="none"/>
              </w:rPr>
            </w:pPr>
            <w:r>
              <w:rPr>
                <w:color w:val="auto"/>
                <w:sz w:val="24"/>
                <w:szCs w:val="24"/>
                <w:highlight w:val="none"/>
              </w:rPr>
              <w:t>2）支付标准：本项目招标代理服务费参照计价格[2002]1980号</w:t>
            </w:r>
            <w:r>
              <w:rPr>
                <w:rFonts w:hint="eastAsia"/>
                <w:color w:val="auto"/>
                <w:sz w:val="24"/>
                <w:szCs w:val="24"/>
                <w:highlight w:val="none"/>
                <w:lang w:val="en-US"/>
              </w:rPr>
              <w:t>文</w:t>
            </w:r>
            <w:r>
              <w:rPr>
                <w:color w:val="auto"/>
                <w:sz w:val="24"/>
                <w:szCs w:val="24"/>
                <w:highlight w:val="none"/>
              </w:rPr>
              <w:t>标准</w:t>
            </w:r>
            <w:r>
              <w:rPr>
                <w:rFonts w:hint="eastAsia"/>
                <w:color w:val="auto"/>
                <w:sz w:val="24"/>
                <w:szCs w:val="24"/>
                <w:highlight w:val="none"/>
                <w:lang w:val="en-US"/>
              </w:rPr>
              <w:t>的50%</w:t>
            </w:r>
            <w:r>
              <w:rPr>
                <w:color w:val="auto"/>
                <w:sz w:val="24"/>
                <w:szCs w:val="24"/>
                <w:highlight w:val="none"/>
              </w:rPr>
              <w:t>收取</w:t>
            </w:r>
            <w:r>
              <w:rPr>
                <w:rFonts w:hint="eastAsia"/>
                <w:color w:val="auto"/>
                <w:sz w:val="24"/>
                <w:szCs w:val="24"/>
                <w:highlight w:val="none"/>
              </w:rPr>
              <w:t>，</w:t>
            </w:r>
            <w:r>
              <w:rPr>
                <w:rFonts w:hint="eastAsia"/>
                <w:color w:val="auto"/>
                <w:sz w:val="24"/>
                <w:szCs w:val="24"/>
                <w:highlight w:val="none"/>
                <w:lang w:val="en-US"/>
              </w:rPr>
              <w:t>不足4000元按4000元包干；预算编制费按鄂价工服规</w:t>
            </w:r>
            <w:r>
              <w:rPr>
                <w:color w:val="auto"/>
                <w:sz w:val="24"/>
                <w:szCs w:val="24"/>
                <w:highlight w:val="none"/>
              </w:rPr>
              <w:t>[20</w:t>
            </w:r>
            <w:r>
              <w:rPr>
                <w:rFonts w:hint="eastAsia"/>
                <w:color w:val="auto"/>
                <w:sz w:val="24"/>
                <w:szCs w:val="24"/>
                <w:highlight w:val="none"/>
                <w:lang w:val="en-US"/>
              </w:rPr>
              <w:t>12</w:t>
            </w:r>
            <w:r>
              <w:rPr>
                <w:color w:val="auto"/>
                <w:sz w:val="24"/>
                <w:szCs w:val="24"/>
                <w:highlight w:val="none"/>
              </w:rPr>
              <w:t>]</w:t>
            </w:r>
            <w:r>
              <w:rPr>
                <w:rFonts w:hint="eastAsia"/>
                <w:color w:val="auto"/>
                <w:sz w:val="24"/>
                <w:szCs w:val="24"/>
                <w:highlight w:val="none"/>
                <w:lang w:val="en-US"/>
              </w:rPr>
              <w:t>149号文标准的50%收取，不足3000元按3000元包干</w:t>
            </w:r>
            <w:r>
              <w:rPr>
                <w:color w:val="auto"/>
                <w:sz w:val="24"/>
                <w:szCs w:val="24"/>
                <w:highlight w:val="none"/>
              </w:rPr>
              <w:t>。</w:t>
            </w:r>
          </w:p>
          <w:p>
            <w:pPr>
              <w:pStyle w:val="43"/>
              <w:ind w:left="106" w:right="102"/>
              <w:rPr>
                <w:b/>
                <w:bCs/>
                <w:color w:val="auto"/>
                <w:sz w:val="24"/>
                <w:szCs w:val="24"/>
                <w:highlight w:val="none"/>
              </w:rPr>
            </w:pPr>
            <w:r>
              <w:rPr>
                <w:color w:val="auto"/>
                <w:sz w:val="24"/>
                <w:szCs w:val="24"/>
                <w:highlight w:val="none"/>
              </w:rPr>
              <w:t>3）支付时间：招标代理服务费由中标人在领取中标通知书的同时，向代理机构支付。</w:t>
            </w:r>
          </w:p>
        </w:tc>
      </w:tr>
    </w:tbl>
    <w:p>
      <w:pPr>
        <w:snapToGrid w:val="0"/>
        <w:spacing w:line="400" w:lineRule="atLeast"/>
        <w:textAlignment w:val="baseline"/>
        <w:rPr>
          <w:color w:val="auto"/>
          <w:sz w:val="21"/>
          <w:highlight w:val="none"/>
        </w:rPr>
        <w:sectPr>
          <w:footerReference r:id="rId7" w:type="default"/>
          <w:pgSz w:w="11900" w:h="16840"/>
          <w:pgMar w:top="1321" w:right="1179" w:bottom="1219" w:left="1219" w:header="879" w:footer="1020" w:gutter="0"/>
          <w:cols w:space="0" w:num="1"/>
          <w:rtlGutter w:val="0"/>
          <w:docGrid w:linePitch="0" w:charSpace="0"/>
        </w:sectPr>
      </w:pPr>
    </w:p>
    <w:p>
      <w:pPr>
        <w:snapToGrid w:val="0"/>
        <w:spacing w:line="460" w:lineRule="exact"/>
        <w:jc w:val="both"/>
        <w:textAlignment w:val="baseline"/>
        <w:rPr>
          <w:b/>
          <w:bCs/>
          <w:color w:val="auto"/>
          <w:sz w:val="24"/>
          <w:szCs w:val="24"/>
          <w:highlight w:val="none"/>
        </w:rPr>
      </w:pPr>
      <w:bookmarkStart w:id="11" w:name="_Toc26138"/>
      <w:bookmarkStart w:id="12" w:name="_Toc18806"/>
      <w:r>
        <w:rPr>
          <w:rFonts w:hint="eastAsia"/>
          <w:b/>
          <w:bCs/>
          <w:color w:val="auto"/>
          <w:sz w:val="24"/>
          <w:szCs w:val="24"/>
          <w:highlight w:val="none"/>
        </w:rPr>
        <w:t>一、总则</w:t>
      </w:r>
      <w:bookmarkEnd w:id="11"/>
      <w:bookmarkEnd w:id="12"/>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1、项目概况</w:t>
      </w:r>
    </w:p>
    <w:p>
      <w:pPr>
        <w:pStyle w:val="42"/>
        <w:numPr>
          <w:ilvl w:val="1"/>
          <w:numId w:val="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项目说明见投标人须知前附表（</w:t>
      </w:r>
      <w:r>
        <w:rPr>
          <w:rFonts w:hint="eastAsia"/>
          <w:color w:val="auto"/>
          <w:spacing w:val="-15"/>
          <w:sz w:val="24"/>
          <w:szCs w:val="24"/>
          <w:highlight w:val="none"/>
        </w:rPr>
        <w:t>以下简称“前附表”</w:t>
      </w:r>
      <w:r>
        <w:rPr>
          <w:rFonts w:hint="eastAsia"/>
          <w:color w:val="auto"/>
          <w:sz w:val="24"/>
          <w:szCs w:val="24"/>
          <w:highlight w:val="none"/>
        </w:rPr>
        <w:t>）</w:t>
      </w:r>
      <w:r>
        <w:rPr>
          <w:rFonts w:hint="eastAsia"/>
          <w:color w:val="auto"/>
          <w:spacing w:val="-2"/>
          <w:sz w:val="24"/>
          <w:szCs w:val="24"/>
          <w:highlight w:val="none"/>
        </w:rPr>
        <w:t>所述。</w:t>
      </w:r>
    </w:p>
    <w:p>
      <w:pPr>
        <w:pStyle w:val="42"/>
        <w:numPr>
          <w:ilvl w:val="1"/>
          <w:numId w:val="4"/>
        </w:numPr>
        <w:snapToGrid w:val="0"/>
        <w:spacing w:line="460" w:lineRule="exact"/>
        <w:ind w:left="0" w:firstLine="436" w:firstLineChars="200"/>
        <w:jc w:val="both"/>
        <w:textAlignment w:val="baseline"/>
        <w:rPr>
          <w:color w:val="auto"/>
          <w:sz w:val="24"/>
          <w:szCs w:val="24"/>
          <w:highlight w:val="none"/>
        </w:rPr>
      </w:pPr>
      <w:r>
        <w:rPr>
          <w:rFonts w:hint="eastAsia"/>
          <w:color w:val="auto"/>
          <w:spacing w:val="-11"/>
          <w:sz w:val="24"/>
          <w:szCs w:val="24"/>
          <w:highlight w:val="none"/>
        </w:rPr>
        <w:t>本项目按照《中华人民共和国招标投标法》和本省本市有关招投标管理的规定，决</w:t>
      </w:r>
      <w:r>
        <w:rPr>
          <w:rFonts w:hint="eastAsia"/>
          <w:color w:val="auto"/>
          <w:spacing w:val="-8"/>
          <w:sz w:val="24"/>
          <w:szCs w:val="24"/>
          <w:highlight w:val="none"/>
        </w:rPr>
        <w:t>定将</w:t>
      </w:r>
      <w:r>
        <w:rPr>
          <w:rFonts w:hint="eastAsia"/>
          <w:color w:val="auto"/>
          <w:spacing w:val="-2"/>
          <w:sz w:val="24"/>
          <w:szCs w:val="24"/>
          <w:highlight w:val="none"/>
        </w:rPr>
        <w:t>采用</w:t>
      </w:r>
      <w:r>
        <w:rPr>
          <w:rFonts w:hint="eastAsia"/>
          <w:b/>
          <w:color w:val="auto"/>
          <w:sz w:val="24"/>
          <w:szCs w:val="24"/>
          <w:highlight w:val="none"/>
          <w:u w:val="single"/>
        </w:rPr>
        <w:t>公开</w:t>
      </w:r>
      <w:r>
        <w:rPr>
          <w:rFonts w:hint="eastAsia"/>
          <w:color w:val="auto"/>
          <w:spacing w:val="-4"/>
          <w:sz w:val="24"/>
          <w:szCs w:val="24"/>
          <w:highlight w:val="none"/>
        </w:rPr>
        <w:t>招标方式，遵循公开、公</w:t>
      </w:r>
      <w:r>
        <w:rPr>
          <w:rFonts w:hint="eastAsia"/>
          <w:color w:val="auto"/>
          <w:sz w:val="24"/>
          <w:szCs w:val="24"/>
          <w:highlight w:val="none"/>
        </w:rPr>
        <w:t>平、公正和诚实守信的竞争原则，择优选择投标人。</w:t>
      </w:r>
    </w:p>
    <w:p>
      <w:pPr>
        <w:pStyle w:val="42"/>
        <w:numPr>
          <w:ilvl w:val="1"/>
          <w:numId w:val="4"/>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项目工期：见“前附表”。</w:t>
      </w:r>
    </w:p>
    <w:p>
      <w:pPr>
        <w:pStyle w:val="42"/>
        <w:numPr>
          <w:ilvl w:val="1"/>
          <w:numId w:val="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资金来源：</w:t>
      </w:r>
      <w:r>
        <w:rPr>
          <w:rFonts w:hint="eastAsia"/>
          <w:color w:val="auto"/>
          <w:spacing w:val="-12"/>
          <w:sz w:val="24"/>
          <w:szCs w:val="24"/>
          <w:highlight w:val="none"/>
        </w:rPr>
        <w:t>见“前附表”</w:t>
      </w:r>
      <w:r>
        <w:rPr>
          <w:rFonts w:hint="eastAsia"/>
          <w:color w:val="auto"/>
          <w:spacing w:val="-3"/>
          <w:sz w:val="24"/>
          <w:szCs w:val="24"/>
          <w:highlight w:val="none"/>
        </w:rPr>
        <w:t>。</w:t>
      </w:r>
    </w:p>
    <w:p>
      <w:pPr>
        <w:pStyle w:val="42"/>
        <w:numPr>
          <w:ilvl w:val="1"/>
          <w:numId w:val="4"/>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招标内容</w:t>
      </w:r>
      <w:r>
        <w:rPr>
          <w:rFonts w:hint="eastAsia"/>
          <w:color w:val="auto"/>
          <w:spacing w:val="-3"/>
          <w:sz w:val="24"/>
          <w:szCs w:val="24"/>
          <w:highlight w:val="none"/>
        </w:rPr>
        <w:t>：</w:t>
      </w:r>
      <w:r>
        <w:rPr>
          <w:rFonts w:hint="eastAsia"/>
          <w:color w:val="auto"/>
          <w:sz w:val="24"/>
          <w:szCs w:val="24"/>
          <w:highlight w:val="none"/>
        </w:rPr>
        <w:t>详见“第五章、技术要求及说明”</w:t>
      </w:r>
      <w:r>
        <w:rPr>
          <w:rFonts w:hint="eastAsia"/>
          <w:color w:val="auto"/>
          <w:spacing w:val="-12"/>
          <w:sz w:val="24"/>
          <w:szCs w:val="24"/>
          <w:highlight w:val="none"/>
        </w:rPr>
        <w:t>。</w:t>
      </w:r>
    </w:p>
    <w:p>
      <w:pPr>
        <w:pStyle w:val="42"/>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lang w:val="en-US"/>
        </w:rPr>
        <w:t>2、</w:t>
      </w:r>
      <w:r>
        <w:rPr>
          <w:rFonts w:hint="eastAsia"/>
          <w:b/>
          <w:color w:val="auto"/>
          <w:sz w:val="24"/>
          <w:szCs w:val="24"/>
          <w:highlight w:val="none"/>
        </w:rPr>
        <w:t>供货及质量要求</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供货要求：见“前附表”。</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质量要求：见“前附表”。</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保修要求：见“前附表”。</w:t>
      </w:r>
    </w:p>
    <w:p>
      <w:pPr>
        <w:snapToGrid w:val="0"/>
        <w:spacing w:line="460" w:lineRule="exact"/>
        <w:ind w:firstLine="482" w:firstLineChars="200"/>
        <w:jc w:val="both"/>
        <w:textAlignment w:val="baseline"/>
        <w:rPr>
          <w:color w:val="auto"/>
          <w:spacing w:val="-3"/>
          <w:sz w:val="24"/>
          <w:szCs w:val="24"/>
          <w:highlight w:val="none"/>
          <w:lang w:val="en-US"/>
        </w:rPr>
      </w:pPr>
      <w:r>
        <w:rPr>
          <w:rFonts w:hint="eastAsia"/>
          <w:b/>
          <w:color w:val="auto"/>
          <w:sz w:val="24"/>
          <w:szCs w:val="24"/>
          <w:highlight w:val="none"/>
          <w:lang w:val="en-US"/>
        </w:rPr>
        <w:t>3、</w:t>
      </w:r>
      <w:r>
        <w:rPr>
          <w:rFonts w:hint="eastAsia"/>
          <w:b/>
          <w:color w:val="auto"/>
          <w:sz w:val="24"/>
          <w:szCs w:val="24"/>
          <w:highlight w:val="none"/>
        </w:rPr>
        <w:t>合格投标人要求：</w:t>
      </w:r>
      <w:r>
        <w:rPr>
          <w:rFonts w:hint="eastAsia"/>
          <w:color w:val="auto"/>
          <w:spacing w:val="-12"/>
          <w:sz w:val="24"/>
          <w:szCs w:val="24"/>
          <w:highlight w:val="none"/>
        </w:rPr>
        <w:t>见“招标公告”。</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4、合格的货物、安装和服务</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投标人应提供为满足招标人要求，本合同的规定所需的，或合同中隐含但与货物有关的任何工作，以及合同虽未提及但为产品的提供，或安装，或安全和有效运行所需的全部工作。</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投标人应提供产品必须是全新的、符合国家有关质量标准及本项目提出的有关性能要求。</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产品必须没有任何侵权行为，注册商标合法有效且符合必要的安全要求。</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合同中提供的所有产品及相关服务，均应由本须知规定的合格投标人提供。本合同的支付也仅限于该项目的建设。</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5、投标费用</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1.</w:t>
      </w:r>
      <w:r>
        <w:rPr>
          <w:rFonts w:hint="eastAsia"/>
          <w:color w:val="auto"/>
          <w:sz w:val="24"/>
          <w:szCs w:val="24"/>
          <w:highlight w:val="none"/>
        </w:rPr>
        <w:t>投标人应承担其参加本项目招标活动自身所发生的所有费用。不论结果如何，招标人及招标代理机构在任何情况下均无义务和责任承担这项费用。</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6、招标文件的组成</w:t>
      </w:r>
    </w:p>
    <w:p>
      <w:pPr>
        <w:pStyle w:val="42"/>
        <w:numPr>
          <w:ilvl w:val="1"/>
          <w:numId w:val="7"/>
        </w:numPr>
        <w:snapToGrid w:val="0"/>
        <w:spacing w:line="460" w:lineRule="exact"/>
        <w:ind w:left="0" w:firstLine="464" w:firstLineChars="200"/>
        <w:jc w:val="both"/>
        <w:textAlignment w:val="baseline"/>
        <w:rPr>
          <w:color w:val="auto"/>
          <w:sz w:val="24"/>
          <w:szCs w:val="24"/>
          <w:highlight w:val="none"/>
        </w:rPr>
      </w:pPr>
      <w:r>
        <w:rPr>
          <w:rFonts w:hint="eastAsia"/>
          <w:color w:val="auto"/>
          <w:spacing w:val="-4"/>
          <w:sz w:val="24"/>
          <w:szCs w:val="24"/>
          <w:highlight w:val="none"/>
        </w:rPr>
        <w:t>招标文件包括下列容:</w:t>
      </w:r>
    </w:p>
    <w:p>
      <w:pPr>
        <w:pStyle w:val="42"/>
        <w:snapToGrid w:val="0"/>
        <w:spacing w:line="460" w:lineRule="exact"/>
        <w:ind w:left="440" w:leftChars="200" w:firstLine="0"/>
        <w:jc w:val="both"/>
        <w:textAlignment w:val="baseline"/>
        <w:rPr>
          <w:color w:val="auto"/>
          <w:sz w:val="24"/>
          <w:szCs w:val="24"/>
          <w:highlight w:val="none"/>
        </w:rPr>
      </w:pPr>
      <w:r>
        <w:rPr>
          <w:rFonts w:hint="eastAsia"/>
          <w:color w:val="auto"/>
          <w:spacing w:val="-3"/>
          <w:sz w:val="24"/>
          <w:szCs w:val="24"/>
          <w:highlight w:val="none"/>
        </w:rPr>
        <w:t>第一章 招标公告</w:t>
      </w:r>
    </w:p>
    <w:p>
      <w:pPr>
        <w:pStyle w:val="42"/>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第二章 投标人须知及前附表</w:t>
      </w:r>
    </w:p>
    <w:p>
      <w:pPr>
        <w:pStyle w:val="42"/>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第三章 评标办法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第四章 合同条款</w:t>
      </w:r>
    </w:p>
    <w:p>
      <w:pPr>
        <w:pStyle w:val="10"/>
        <w:numPr>
          <w:ilvl w:val="0"/>
          <w:numId w:val="8"/>
        </w:num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技术要求及说明</w:t>
      </w:r>
    </w:p>
    <w:p>
      <w:pPr>
        <w:pStyle w:val="10"/>
        <w:numPr>
          <w:ilvl w:val="0"/>
          <w:numId w:val="8"/>
        </w:num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投标文件格式</w:t>
      </w:r>
    </w:p>
    <w:p>
      <w:pPr>
        <w:pStyle w:val="42"/>
        <w:numPr>
          <w:ilvl w:val="1"/>
          <w:numId w:val="7"/>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除以上内容外，招标人在投标人提交投标文件送达截止时间前，以书面形式发出的对招标文件的澄清或修改的内容，均为招标文件的组成部分，对招标人和投标人起约束作用。</w:t>
      </w:r>
    </w:p>
    <w:p>
      <w:pPr>
        <w:pStyle w:val="42"/>
        <w:numPr>
          <w:ilvl w:val="1"/>
          <w:numId w:val="7"/>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获取本招标文件后，应仔细检查招标文件的所有内容，如有残缺等问题应在投标人须知前附表规定的时间内以书面形式提出，否则，由此引起的损失由投标人自己承担。投标人同时应认真审阅招标文件中所有的事项、格式、条款和规范要求等，若投标人的投标文件没有按招标人招标文件要求提交全部资料，或投标人投标文件没有对招标人招标文件做出实质性响应，其风险由投标人自行承担，并根据有关条款规定，该投标人谈判有可能被拒绝。</w:t>
      </w:r>
    </w:p>
    <w:p>
      <w:pPr>
        <w:pStyle w:val="42"/>
        <w:numPr>
          <w:ilvl w:val="1"/>
          <w:numId w:val="7"/>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发售招标文件的时间及地点见投标人须知前附表。</w:t>
      </w:r>
    </w:p>
    <w:p>
      <w:pPr>
        <w:pStyle w:val="42"/>
        <w:numPr>
          <w:ilvl w:val="1"/>
          <w:numId w:val="7"/>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招标文件售价见投标人须知前附表。</w:t>
      </w:r>
    </w:p>
    <w:p>
      <w:pPr>
        <w:pStyle w:val="42"/>
        <w:numPr>
          <w:ilvl w:val="0"/>
          <w:numId w:val="9"/>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招标文件的澄清、修改、答疑</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招标人对已发出的招标文件确需进行澄清或者修改的，应当在招标文件规定的提交投标文件截止前，以书面形式 通知所有招标文件收受人。</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投标人在领取招标文件后有疑问的，应按投标人须知前附表规定的时间以书面形式提出。招标人将按投标人须知前附表规定的时间以书面形式解答。并将解答同时送达所有招标文件收受人。</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不论招标人以书面形式向投标人发出的任何资料文件，还是投标人以书面形式提出的问题，均应以书面形式予以签收确认。任何口头上的修改、澄清、答疑一律视为无效。</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当招标文件、修改补充通知、澄清（答疑）内容相互矛盾时，以最后发出的通知或修改文件为准。</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澄清、修改、答疑等补充文件作为招标文件的组成部分，与招标文件具有同等效力。</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为了使投标人在编制投标文件时，充分响应招标文件的澄清、修改以及答疑的内容， 招标人可根据情况适当延长提交投标文件截止时间，并在补充文件中明确。</w:t>
      </w:r>
    </w:p>
    <w:p>
      <w:pPr>
        <w:pStyle w:val="3"/>
        <w:snapToGrid w:val="0"/>
        <w:spacing w:line="460" w:lineRule="exact"/>
        <w:ind w:left="0" w:firstLine="480" w:firstLineChars="200"/>
        <w:jc w:val="both"/>
        <w:textAlignment w:val="baseline"/>
        <w:rPr>
          <w:color w:val="auto"/>
          <w:highlight w:val="none"/>
        </w:rPr>
      </w:pPr>
      <w:bookmarkStart w:id="13" w:name="_TOC_250019"/>
      <w:bookmarkEnd w:id="13"/>
      <w:bookmarkStart w:id="14" w:name="_Toc18907"/>
      <w:bookmarkStart w:id="15" w:name="_Toc12128"/>
      <w:r>
        <w:rPr>
          <w:rFonts w:hint="eastAsia"/>
          <w:color w:val="auto"/>
          <w:highlight w:val="none"/>
        </w:rPr>
        <w:t>三、投标文件</w:t>
      </w:r>
      <w:bookmarkEnd w:id="14"/>
      <w:bookmarkEnd w:id="15"/>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8、投标文件的制作与编制</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投标人应按照招标文件的要求编制投标文件，投标文件应对招标文件提出的实质性要求和条件作出实质性响应。</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投标人投标文件和与投标有关的所有文件均应使用中文简体汉字。</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投标人投标文件使用的度量衡单位，均采用中华人民共和国法定计量单位。</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9、投标人投标文件包含如下三部分内容</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投标人投标文件由价格部分、商务标、技术标三部分组成。</w:t>
      </w:r>
    </w:p>
    <w:p>
      <w:pPr>
        <w:numPr>
          <w:ilvl w:val="1"/>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商务标包含下列内容但不少于本文件第六章格式要求中规定提供的内容。</w:t>
      </w:r>
    </w:p>
    <w:p>
      <w:pPr>
        <w:pStyle w:val="42"/>
        <w:numPr>
          <w:ilvl w:val="2"/>
          <w:numId w:val="11"/>
        </w:numPr>
        <w:snapToGrid w:val="0"/>
        <w:spacing w:line="460" w:lineRule="exact"/>
        <w:ind w:left="0" w:firstLine="472" w:firstLineChars="200"/>
        <w:jc w:val="both"/>
        <w:textAlignment w:val="baseline"/>
        <w:rPr>
          <w:color w:val="auto"/>
          <w:sz w:val="24"/>
          <w:szCs w:val="24"/>
          <w:highlight w:val="none"/>
        </w:rPr>
      </w:pPr>
      <w:r>
        <w:rPr>
          <w:rFonts w:hint="eastAsia"/>
          <w:color w:val="auto"/>
          <w:spacing w:val="-2"/>
          <w:sz w:val="24"/>
          <w:szCs w:val="24"/>
          <w:highlight w:val="none"/>
        </w:rPr>
        <w:t>投标函；</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开标一览表；</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投标报价总表（需加盖投标人公章和法定代表人印章）；</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分项报价表；</w:t>
      </w:r>
    </w:p>
    <w:p>
      <w:pPr>
        <w:numPr>
          <w:ilvl w:val="1"/>
          <w:numId w:val="11"/>
        </w:numPr>
        <w:snapToGrid w:val="0"/>
        <w:spacing w:line="460" w:lineRule="exact"/>
        <w:ind w:left="0" w:firstLine="476" w:firstLineChars="200"/>
        <w:jc w:val="both"/>
        <w:textAlignment w:val="baseline"/>
        <w:rPr>
          <w:b/>
          <w:color w:val="auto"/>
          <w:sz w:val="24"/>
          <w:szCs w:val="24"/>
          <w:highlight w:val="none"/>
        </w:rPr>
      </w:pPr>
      <w:r>
        <w:rPr>
          <w:rFonts w:hint="eastAsia"/>
          <w:color w:val="auto"/>
          <w:spacing w:val="-1"/>
          <w:sz w:val="24"/>
          <w:szCs w:val="24"/>
          <w:highlight w:val="none"/>
        </w:rPr>
        <w:t>商务标、技术标包含但不限于下列内容：</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法人代表证明书及身份证复印件或法人代表授权委托书原件及身份证复印件；</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投标人基本情况表；</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营业执照、税务登记证、机构代码证（或三证合一</w:t>
      </w:r>
      <w:r>
        <w:rPr>
          <w:rFonts w:hint="eastAsia"/>
          <w:color w:val="auto"/>
          <w:spacing w:val="-106"/>
          <w:sz w:val="24"/>
          <w:szCs w:val="24"/>
          <w:highlight w:val="none"/>
        </w:rPr>
        <w:t>）</w:t>
      </w:r>
      <w:r>
        <w:rPr>
          <w:rFonts w:hint="eastAsia"/>
          <w:color w:val="auto"/>
          <w:spacing w:val="-3"/>
          <w:sz w:val="24"/>
          <w:szCs w:val="24"/>
          <w:highlight w:val="none"/>
        </w:rPr>
        <w:t>复印件（加盖公章</w:t>
      </w:r>
      <w:r>
        <w:rPr>
          <w:rFonts w:hint="eastAsia"/>
          <w:color w:val="auto"/>
          <w:spacing w:val="-106"/>
          <w:sz w:val="24"/>
          <w:szCs w:val="24"/>
          <w:highlight w:val="none"/>
        </w:rPr>
        <w:t>）</w:t>
      </w:r>
      <w:r>
        <w:rPr>
          <w:rFonts w:hint="eastAsia"/>
          <w:color w:val="auto"/>
          <w:sz w:val="24"/>
          <w:szCs w:val="24"/>
          <w:highlight w:val="none"/>
        </w:rPr>
        <w:t>；</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投标人近三年承接类似项目的业绩经验证明材复印件（加盖公章</w:t>
      </w:r>
      <w:r>
        <w:rPr>
          <w:rFonts w:hint="eastAsia"/>
          <w:color w:val="auto"/>
          <w:spacing w:val="-106"/>
          <w:sz w:val="24"/>
          <w:szCs w:val="24"/>
          <w:highlight w:val="none"/>
        </w:rPr>
        <w:t>）</w:t>
      </w:r>
      <w:r>
        <w:rPr>
          <w:rFonts w:hint="eastAsia"/>
          <w:color w:val="auto"/>
          <w:sz w:val="24"/>
          <w:szCs w:val="24"/>
          <w:highlight w:val="none"/>
        </w:rPr>
        <w:t>；</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技术服务及售后服务方案；</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售后服务承诺书；</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所投设备</w:t>
      </w:r>
      <w:r>
        <w:rPr>
          <w:rFonts w:hint="eastAsia"/>
          <w:color w:val="auto"/>
          <w:sz w:val="24"/>
          <w:szCs w:val="24"/>
          <w:highlight w:val="none"/>
        </w:rPr>
        <w:t>技术性能指标的响应情况及详细描述；</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招标人要求提供的其他资料。</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10、投标报价</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投标报价的范围</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人投标报价应包括招标文件所确定的招标范围内相应内容和合同条款上所列的全部内容。除非合同另有规定。投标人在报价中所报的单价和合价，以及投标报价汇总表中的价格均包括完成本项目的成本、利润、税金、运输、安装过程中用水、用电、质保维修服务及政策性文件规定等全部费用。</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投标报价编制依据</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招标文件、项目技术要求、</w:t>
      </w:r>
      <w:r>
        <w:rPr>
          <w:rFonts w:hint="eastAsia"/>
          <w:color w:val="auto"/>
          <w:sz w:val="24"/>
          <w:szCs w:val="24"/>
          <w:highlight w:val="none"/>
          <w:lang w:val="en-US"/>
        </w:rPr>
        <w:t>招标</w:t>
      </w:r>
      <w:r>
        <w:rPr>
          <w:rFonts w:hint="eastAsia"/>
          <w:color w:val="auto"/>
          <w:sz w:val="24"/>
          <w:szCs w:val="24"/>
          <w:highlight w:val="none"/>
        </w:rPr>
        <w:t>清单、服务范围及技术要求和答疑、补充文件等。</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投标报价方式</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采用全费用总价包干，固定综合单价不变，包含人工安装、调试、运输、税金等一切与本项目相关的费用，一旦中标投标总价均不予调整。投标人自行考虑投标报价。</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投标报价的计价方法</w:t>
      </w:r>
    </w:p>
    <w:p>
      <w:pPr>
        <w:pStyle w:val="42"/>
        <w:numPr>
          <w:ilvl w:val="2"/>
          <w:numId w:val="12"/>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投标价格为投标人的投标文件中提出和各项支付金额的总和，投标人的投标一旦为招标人接受，除合同中另有约定，其他任何情况下不予以调整。</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11、投标货币及单位</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采用的币种为人民币，单位为：元。</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12、投标文件格式</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投标文件应包括“投标文件的编制”中规定的所有内容。</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编制投标文件时，投标人必须使用招标文件提供的文件格式</w:t>
      </w:r>
      <w:r>
        <w:rPr>
          <w:rFonts w:hint="eastAsia"/>
          <w:color w:val="auto"/>
          <w:sz w:val="24"/>
          <w:szCs w:val="24"/>
          <w:highlight w:val="none"/>
        </w:rPr>
        <w:t>（</w:t>
      </w:r>
      <w:r>
        <w:rPr>
          <w:rFonts w:hint="eastAsia"/>
          <w:color w:val="auto"/>
          <w:spacing w:val="-3"/>
          <w:sz w:val="24"/>
          <w:szCs w:val="24"/>
          <w:highlight w:val="none"/>
        </w:rPr>
        <w:t>表格可以按同样格式扩展</w:t>
      </w:r>
      <w:r>
        <w:rPr>
          <w:rFonts w:hint="eastAsia"/>
          <w:color w:val="auto"/>
          <w:spacing w:val="-106"/>
          <w:sz w:val="24"/>
          <w:szCs w:val="24"/>
          <w:highlight w:val="none"/>
        </w:rPr>
        <w:t>）</w:t>
      </w:r>
      <w:r>
        <w:rPr>
          <w:rFonts w:hint="eastAsia"/>
          <w:color w:val="auto"/>
          <w:sz w:val="24"/>
          <w:szCs w:val="24"/>
          <w:highlight w:val="none"/>
        </w:rPr>
        <w:t>。</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投标文件应按上述内容及顺序编制。</w:t>
      </w:r>
    </w:p>
    <w:p>
      <w:pPr>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开标一览表：该表供开标时使用，表内填写的数据等内容必须与投标人的投标文件的同内容相一致。</w:t>
      </w:r>
    </w:p>
    <w:p>
      <w:pPr>
        <w:snapToGrid w:val="0"/>
        <w:spacing w:line="460" w:lineRule="exact"/>
        <w:ind w:firstLine="482" w:firstLineChars="200"/>
        <w:jc w:val="both"/>
        <w:textAlignment w:val="baseline"/>
        <w:rPr>
          <w:b/>
          <w:color w:val="auto"/>
          <w:sz w:val="24"/>
          <w:szCs w:val="24"/>
          <w:highlight w:val="none"/>
          <w:lang w:val="en-US"/>
        </w:rPr>
      </w:pPr>
      <w:r>
        <w:rPr>
          <w:rFonts w:hint="eastAsia"/>
          <w:b/>
          <w:color w:val="auto"/>
          <w:sz w:val="24"/>
          <w:szCs w:val="24"/>
          <w:highlight w:val="none"/>
          <w:lang w:val="en-US"/>
        </w:rPr>
        <w:t>13、投标有效期</w:t>
      </w:r>
    </w:p>
    <w:p>
      <w:pPr>
        <w:pStyle w:val="42"/>
        <w:numPr>
          <w:ilvl w:val="1"/>
          <w:numId w:val="1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投标有效期见投标人须知前附表所规定的期限，在此期限内，凡符合本招标文件</w:t>
      </w:r>
      <w:r>
        <w:rPr>
          <w:rFonts w:hint="eastAsia"/>
          <w:color w:val="auto"/>
          <w:sz w:val="24"/>
          <w:szCs w:val="24"/>
          <w:highlight w:val="none"/>
        </w:rPr>
        <w:t>要求的投标人投标文件均保持有效。</w:t>
      </w:r>
    </w:p>
    <w:p>
      <w:pPr>
        <w:snapToGrid w:val="0"/>
        <w:spacing w:line="460" w:lineRule="exact"/>
        <w:ind w:firstLine="482" w:firstLineChars="200"/>
        <w:jc w:val="both"/>
        <w:textAlignment w:val="baseline"/>
        <w:rPr>
          <w:b/>
          <w:color w:val="auto"/>
          <w:w w:val="95"/>
          <w:sz w:val="24"/>
          <w:szCs w:val="24"/>
          <w:highlight w:val="none"/>
        </w:rPr>
      </w:pPr>
      <w:r>
        <w:rPr>
          <w:rFonts w:hint="eastAsia"/>
          <w:b/>
          <w:color w:val="auto"/>
          <w:sz w:val="24"/>
          <w:szCs w:val="24"/>
          <w:highlight w:val="none"/>
          <w:lang w:val="en-US"/>
        </w:rPr>
        <w:t>14、</w:t>
      </w:r>
      <w:r>
        <w:rPr>
          <w:rFonts w:hint="eastAsia"/>
          <w:b/>
          <w:color w:val="auto"/>
          <w:sz w:val="24"/>
          <w:szCs w:val="24"/>
          <w:highlight w:val="none"/>
        </w:rPr>
        <w:t>投标文件的份数、装订与制作要求和签署</w:t>
      </w:r>
    </w:p>
    <w:p>
      <w:pPr>
        <w:pStyle w:val="42"/>
        <w:snapToGrid w:val="0"/>
        <w:spacing w:line="460" w:lineRule="exact"/>
        <w:ind w:left="440" w:leftChars="200" w:firstLine="0"/>
        <w:jc w:val="both"/>
        <w:textAlignment w:val="baseline"/>
        <w:rPr>
          <w:color w:val="auto"/>
          <w:spacing w:val="-3"/>
          <w:sz w:val="24"/>
          <w:szCs w:val="24"/>
          <w:highlight w:val="none"/>
        </w:rPr>
      </w:pPr>
      <w:r>
        <w:rPr>
          <w:rFonts w:hint="eastAsia"/>
          <w:color w:val="auto"/>
          <w:spacing w:val="-3"/>
          <w:sz w:val="24"/>
          <w:szCs w:val="24"/>
          <w:highlight w:val="none"/>
        </w:rPr>
        <w:t>详细内容见投标须知前附表</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四、投标文件的提交</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15、投标文件的密封和标识</w:t>
      </w:r>
    </w:p>
    <w:p>
      <w:pPr>
        <w:pStyle w:val="42"/>
        <w:snapToGrid w:val="0"/>
        <w:spacing w:line="460" w:lineRule="exact"/>
        <w:ind w:left="440" w:leftChars="200" w:firstLine="0"/>
        <w:jc w:val="both"/>
        <w:textAlignment w:val="baseline"/>
        <w:rPr>
          <w:color w:val="auto"/>
          <w:highlight w:val="none"/>
        </w:rPr>
      </w:pPr>
      <w:r>
        <w:rPr>
          <w:rFonts w:hint="eastAsia"/>
          <w:color w:val="auto"/>
          <w:spacing w:val="-3"/>
          <w:sz w:val="24"/>
          <w:szCs w:val="24"/>
          <w:highlight w:val="none"/>
        </w:rPr>
        <w:t>详细内容见投标须知前附表</w:t>
      </w:r>
    </w:p>
    <w:p>
      <w:pPr>
        <w:pStyle w:val="42"/>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lang w:val="en-US"/>
        </w:rPr>
        <w:t>16</w:t>
      </w:r>
      <w:r>
        <w:rPr>
          <w:rFonts w:hint="eastAsia"/>
          <w:b/>
          <w:color w:val="auto"/>
          <w:sz w:val="24"/>
          <w:szCs w:val="24"/>
          <w:highlight w:val="none"/>
        </w:rPr>
        <w:t>、投标文件的递交</w:t>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投标人须在投标人须知前附表规定的提交投标文件截止时间前将投标文件上传至指定邮箱。</w:t>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投标人应当在投标截止时间前，以下列方式递交投标文件：</w:t>
      </w:r>
    </w:p>
    <w:p>
      <w:pPr>
        <w:pStyle w:val="42"/>
        <w:snapToGrid w:val="0"/>
        <w:spacing w:line="460" w:lineRule="exact"/>
        <w:ind w:left="440" w:leftChars="200" w:firstLine="0"/>
        <w:jc w:val="both"/>
        <w:textAlignment w:val="baseline"/>
        <w:rPr>
          <w:color w:val="auto"/>
          <w:spacing w:val="-3"/>
          <w:sz w:val="24"/>
          <w:szCs w:val="24"/>
          <w:highlight w:val="none"/>
        </w:rPr>
      </w:pPr>
      <w:r>
        <w:rPr>
          <w:rFonts w:hint="eastAsia"/>
          <w:color w:val="auto"/>
          <w:spacing w:val="-3"/>
          <w:sz w:val="24"/>
          <w:szCs w:val="24"/>
          <w:highlight w:val="none"/>
          <w:lang w:val="en-US"/>
        </w:rPr>
        <w:t>17.2.1</w:t>
      </w:r>
      <w:r>
        <w:rPr>
          <w:color w:val="auto"/>
          <w:highlight w:val="none"/>
        </w:rPr>
        <w:fldChar w:fldCharType="begin"/>
      </w:r>
      <w:r>
        <w:rPr>
          <w:color w:val="auto"/>
          <w:highlight w:val="none"/>
        </w:rPr>
        <w:instrText xml:space="preserve"> HYPERLINK "mailto:本次项目采取网上递交及网络开标的方式进行(详见招标文件)，截止时间后递交的投标文件不予接收。即投标人在招标文件上规定的截止时间前，将投标文件转换成PDF格式并加密上传到（420433899@qq.com）邮箱。其中投标人递交投标文件时一定要在" </w:instrText>
      </w:r>
      <w:r>
        <w:rPr>
          <w:color w:val="auto"/>
          <w:highlight w:val="none"/>
        </w:rPr>
        <w:fldChar w:fldCharType="separate"/>
      </w:r>
      <w:r>
        <w:rPr>
          <w:rFonts w:hint="eastAsia"/>
          <w:color w:val="auto"/>
          <w:spacing w:val="-3"/>
          <w:sz w:val="24"/>
          <w:szCs w:val="24"/>
          <w:highlight w:val="none"/>
        </w:rPr>
        <w:t>本次项目采取网上递交及网络开标的方式进行(详见招标文件)，截止时间后递交的投标文件不予接收。即投标人在招标文件上规定的截止时间前，将投标文件转换成PDF格式并加密上传到邮箱。其中投标人递交投标文件时一定要在“邮件主题”上标注参与项目的名称+投标人名称。</w:t>
      </w:r>
      <w:r>
        <w:rPr>
          <w:rFonts w:hint="eastAsia"/>
          <w:color w:val="auto"/>
          <w:spacing w:val="-3"/>
          <w:sz w:val="24"/>
          <w:szCs w:val="24"/>
          <w:highlight w:val="none"/>
        </w:rPr>
        <w:fldChar w:fldCharType="end"/>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招标人将按投标须知前附表规定的时间、地点进行准时开标。</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18、投标文件的修改与撤回</w:t>
      </w:r>
    </w:p>
    <w:p>
      <w:pPr>
        <w:pStyle w:val="10"/>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在前附表中规定的提交投标文件截止时间前，投标文件可以补充，修改或者撤回已提交</w:t>
      </w:r>
      <w:r>
        <w:rPr>
          <w:rFonts w:hint="eastAsia"/>
          <w:color w:val="auto"/>
          <w:spacing w:val="-12"/>
          <w:sz w:val="24"/>
          <w:szCs w:val="24"/>
          <w:highlight w:val="none"/>
        </w:rPr>
        <w:t>的投标文件。补充、修改的内容作为投标文件的组成部分，应当按本招标文件的规定进行编</w:t>
      </w:r>
      <w:r>
        <w:rPr>
          <w:rFonts w:hint="eastAsia"/>
          <w:color w:val="auto"/>
          <w:spacing w:val="-8"/>
          <w:sz w:val="24"/>
          <w:szCs w:val="24"/>
          <w:highlight w:val="none"/>
        </w:rPr>
        <w:t>制、密封、标志</w:t>
      </w:r>
      <w:r>
        <w:rPr>
          <w:rFonts w:hint="eastAsia"/>
          <w:color w:val="auto"/>
          <w:sz w:val="24"/>
          <w:szCs w:val="24"/>
          <w:highlight w:val="none"/>
        </w:rPr>
        <w:t>（</w:t>
      </w:r>
      <w:r>
        <w:rPr>
          <w:rFonts w:hint="eastAsia"/>
          <w:color w:val="auto"/>
          <w:spacing w:val="-9"/>
          <w:sz w:val="24"/>
          <w:szCs w:val="24"/>
          <w:highlight w:val="none"/>
        </w:rPr>
        <w:t>在包封上标明“修改”或“撤回”字样，并注明修改或撤回的时间</w:t>
      </w:r>
      <w:r>
        <w:rPr>
          <w:rFonts w:hint="eastAsia"/>
          <w:color w:val="auto"/>
          <w:spacing w:val="-10"/>
          <w:sz w:val="24"/>
          <w:szCs w:val="24"/>
          <w:highlight w:val="none"/>
        </w:rPr>
        <w:t>）</w:t>
      </w:r>
      <w:r>
        <w:rPr>
          <w:rFonts w:hint="eastAsia"/>
          <w:color w:val="auto"/>
          <w:spacing w:val="-2"/>
          <w:sz w:val="24"/>
          <w:szCs w:val="24"/>
          <w:highlight w:val="none"/>
        </w:rPr>
        <w:t>和送</w:t>
      </w:r>
      <w:r>
        <w:rPr>
          <w:rFonts w:hint="eastAsia"/>
          <w:color w:val="auto"/>
          <w:spacing w:val="-3"/>
          <w:sz w:val="24"/>
          <w:szCs w:val="24"/>
          <w:highlight w:val="none"/>
        </w:rPr>
        <w:t>达、签收、保管。</w:t>
      </w:r>
    </w:p>
    <w:p>
      <w:pPr>
        <w:pStyle w:val="3"/>
        <w:snapToGrid w:val="0"/>
        <w:spacing w:line="360" w:lineRule="auto"/>
        <w:ind w:left="0" w:firstLine="480" w:firstLineChars="200"/>
        <w:jc w:val="both"/>
        <w:textAlignment w:val="baseline"/>
        <w:rPr>
          <w:color w:val="auto"/>
          <w:highlight w:val="none"/>
        </w:rPr>
      </w:pPr>
      <w:bookmarkStart w:id="16" w:name="_TOC_250018"/>
      <w:bookmarkEnd w:id="16"/>
      <w:bookmarkStart w:id="17" w:name="_Toc19505"/>
      <w:bookmarkStart w:id="18" w:name="_Toc12590"/>
      <w:r>
        <w:rPr>
          <w:rFonts w:hint="eastAsia"/>
          <w:color w:val="auto"/>
          <w:highlight w:val="none"/>
        </w:rPr>
        <w:t>五、开标、评标、定标</w:t>
      </w:r>
      <w:bookmarkEnd w:id="17"/>
      <w:bookmarkEnd w:id="18"/>
    </w:p>
    <w:p>
      <w:pPr>
        <w:tabs>
          <w:tab w:val="left" w:pos="1290"/>
        </w:tabs>
        <w:snapToGrid w:val="0"/>
        <w:spacing w:line="360" w:lineRule="auto"/>
        <w:ind w:firstLine="482" w:firstLineChars="200"/>
        <w:jc w:val="both"/>
        <w:textAlignment w:val="baseline"/>
        <w:rPr>
          <w:b/>
          <w:bCs/>
          <w:color w:val="auto"/>
          <w:sz w:val="24"/>
          <w:szCs w:val="24"/>
          <w:highlight w:val="none"/>
        </w:rPr>
      </w:pPr>
      <w:r>
        <w:rPr>
          <w:rFonts w:hint="eastAsia"/>
          <w:b/>
          <w:bCs/>
          <w:color w:val="auto"/>
          <w:sz w:val="24"/>
          <w:szCs w:val="24"/>
          <w:highlight w:val="none"/>
          <w:lang w:val="en-US"/>
        </w:rPr>
        <w:t>19.1</w:t>
      </w:r>
      <w:r>
        <w:rPr>
          <w:rFonts w:hint="eastAsia"/>
          <w:b/>
          <w:bCs/>
          <w:color w:val="auto"/>
          <w:sz w:val="24"/>
          <w:szCs w:val="24"/>
          <w:highlight w:val="none"/>
        </w:rPr>
        <w:t>开标</w:t>
      </w:r>
    </w:p>
    <w:p>
      <w:pPr>
        <w:tabs>
          <w:tab w:val="left" w:pos="1290"/>
        </w:tabs>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w:t>
      </w:r>
      <w:r>
        <w:rPr>
          <w:rFonts w:hint="eastAsia"/>
          <w:b/>
          <w:color w:val="auto"/>
          <w:sz w:val="24"/>
          <w:szCs w:val="24"/>
          <w:highlight w:val="none"/>
        </w:rPr>
        <w:t>开标会由招标人或招标代理机构主持，投标人在开标规定时间前半小时进入“腾讯会议”会议室，并将称呼改为“XX公司+姓名”后参与本次视频开标。代理机构在开标前 15 分钟，另组建本次开标会微信群，每家投标人的法人授权委托代表“公司名称+姓名”实名进入。具体流程如下：</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19.1.2.1</w:t>
      </w:r>
      <w:r>
        <w:rPr>
          <w:rFonts w:hint="eastAsia"/>
          <w:b/>
          <w:color w:val="auto"/>
          <w:sz w:val="24"/>
          <w:szCs w:val="24"/>
          <w:highlight w:val="none"/>
        </w:rPr>
        <w:t>将开标倒计时投屏至会议界面；</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19.1.3</w:t>
      </w:r>
      <w:r>
        <w:rPr>
          <w:rFonts w:hint="eastAsia"/>
          <w:b/>
          <w:color w:val="auto"/>
          <w:sz w:val="24"/>
          <w:szCs w:val="24"/>
          <w:highlight w:val="none"/>
        </w:rPr>
        <w:t>投标人单位进入“腾讯会议”系统前将名片改为投标人单位名称+代表人姓名（实名）。代理公司于现场另建微信群，在“腾讯会议”系统里将微信群二维码公布，每一个投标单位允许授权代表进入微信群并修改群名片（同腾讯会议）；</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19.1.4</w:t>
      </w:r>
      <w:r>
        <w:rPr>
          <w:rFonts w:hint="eastAsia"/>
          <w:b/>
          <w:color w:val="auto"/>
          <w:sz w:val="24"/>
          <w:szCs w:val="24"/>
          <w:highlight w:val="none"/>
        </w:rPr>
        <w:t>宣布本次开标会开始，强调会议纪律及要求。除主持人和联合主持人会议麦克风打开外，其他参会人员麦克风保持静音，需发言时自行打开；</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19.1.5</w:t>
      </w:r>
      <w:r>
        <w:rPr>
          <w:rFonts w:hint="eastAsia"/>
          <w:b/>
          <w:color w:val="auto"/>
          <w:sz w:val="24"/>
          <w:szCs w:val="24"/>
          <w:highlight w:val="none"/>
        </w:rPr>
        <w:t>确认本次开标会有效投标人。将代理机构邮箱打开并投屏至会议界面， 根据文件递交截止时间确认有效投标人；</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19.1.6</w:t>
      </w:r>
      <w:r>
        <w:rPr>
          <w:rFonts w:hint="eastAsia"/>
          <w:b/>
          <w:color w:val="auto"/>
          <w:sz w:val="24"/>
          <w:szCs w:val="24"/>
          <w:highlight w:val="none"/>
        </w:rPr>
        <w:t>下载投标投标文件。根据邮箱中邮件递交时间顺序，依次下载投标人投标文件。下载过程全程投屏至会议界面。在此过程中，投标人代表应对下载的投标文件文件通过微信群确认并告之解密密码。代理机构在本地电脑上新建该项目投标文件夹，再在这个文件夹内建立每家投标人子文件夹，将投标文件下载至此，将投标人代表告之的解密密码标注在对应的投标文件名上；</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19.1.7</w:t>
      </w:r>
      <w:r>
        <w:rPr>
          <w:rFonts w:hint="eastAsia"/>
          <w:b/>
          <w:color w:val="auto"/>
          <w:sz w:val="24"/>
          <w:szCs w:val="24"/>
          <w:highlight w:val="none"/>
        </w:rPr>
        <w:t>验证投标人身份。代理机构按顺序逐个打开投标人单位的投标文件，将投标人法人授权委托书页投屏至会议界面，同时对应的投标人代表打开摄像头，左手持本人身份证至头部的左下方，代理机构截屏保存。如无异议，逐个确认及截屏。</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19.1.8</w:t>
      </w:r>
      <w:r>
        <w:rPr>
          <w:rFonts w:hint="eastAsia"/>
          <w:b/>
          <w:color w:val="auto"/>
          <w:sz w:val="24"/>
          <w:szCs w:val="24"/>
          <w:highlight w:val="none"/>
        </w:rPr>
        <w:t>唱标：投标人身份验证成功后代理机构打开相应投标单位的投标文件，将投标人投标报价页投屏至会议界面进行唱标。如无异议，逐个确认及截屏。</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19.1.9</w:t>
      </w:r>
      <w:r>
        <w:rPr>
          <w:rFonts w:hint="eastAsia"/>
          <w:b/>
          <w:color w:val="auto"/>
          <w:sz w:val="24"/>
          <w:szCs w:val="24"/>
          <w:highlight w:val="none"/>
        </w:rPr>
        <w:t>代理公司将邮箱投屏到“腾讯会议”系统里。代理公司工作人员将投标人单位的解密投标文件下载到开标室的电脑，若投标文件解密不成功，视为投标人单位放弃投标；</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19.1.10</w:t>
      </w:r>
      <w:r>
        <w:rPr>
          <w:rFonts w:hint="eastAsia"/>
          <w:b/>
          <w:color w:val="auto"/>
          <w:sz w:val="24"/>
          <w:szCs w:val="24"/>
          <w:highlight w:val="none"/>
        </w:rPr>
        <w:t>代理机构再次询问各投标人代表，对此次开标会有无异议。如无异议， 书面手写 XXX 项目开标确认书，附法人授权委托人身份证原件拍照上传至本次开标会微信群；</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19.1.11</w:t>
      </w:r>
      <w:r>
        <w:rPr>
          <w:rFonts w:hint="eastAsia"/>
          <w:b/>
          <w:color w:val="auto"/>
          <w:sz w:val="24"/>
          <w:szCs w:val="24"/>
          <w:highlight w:val="none"/>
        </w:rPr>
        <w:t>代理公司工作人员将投标人的投标文件用 U 盘复制给评委，评委进行评标；</w:t>
      </w:r>
    </w:p>
    <w:p>
      <w:pPr>
        <w:spacing w:line="360" w:lineRule="auto"/>
        <w:ind w:firstLine="480" w:firstLineChars="200"/>
        <w:rPr>
          <w:color w:val="auto"/>
          <w:sz w:val="24"/>
          <w:szCs w:val="24"/>
          <w:highlight w:val="none"/>
        </w:rPr>
      </w:pPr>
      <w:r>
        <w:rPr>
          <w:rFonts w:hint="eastAsia"/>
          <w:color w:val="auto"/>
          <w:sz w:val="24"/>
          <w:szCs w:val="24"/>
          <w:highlight w:val="none"/>
        </w:rPr>
        <w:t>附：开标确认书</w:t>
      </w:r>
    </w:p>
    <w:tbl>
      <w:tblPr>
        <w:tblStyle w:val="26"/>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5" w:hRule="atLeast"/>
          <w:jc w:val="center"/>
        </w:trPr>
        <w:tc>
          <w:tcPr>
            <w:tcW w:w="8558" w:type="dxa"/>
          </w:tcPr>
          <w:p>
            <w:pPr>
              <w:spacing w:line="360" w:lineRule="auto"/>
              <w:jc w:val="center"/>
              <w:rPr>
                <w:color w:val="auto"/>
                <w:sz w:val="24"/>
                <w:szCs w:val="24"/>
                <w:highlight w:val="none"/>
              </w:rPr>
            </w:pPr>
            <w:r>
              <w:rPr>
                <w:rFonts w:hint="eastAsia"/>
                <w:color w:val="auto"/>
                <w:sz w:val="24"/>
                <w:szCs w:val="24"/>
                <w:highlight w:val="none"/>
                <w:u w:val="single"/>
              </w:rPr>
              <w:t xml:space="preserve">         项目</w:t>
            </w:r>
            <w:r>
              <w:rPr>
                <w:rFonts w:hint="eastAsia"/>
                <w:color w:val="auto"/>
                <w:sz w:val="24"/>
                <w:szCs w:val="24"/>
                <w:highlight w:val="none"/>
              </w:rPr>
              <w:t>开标确认书</w:t>
            </w:r>
          </w:p>
          <w:p>
            <w:pPr>
              <w:spacing w:line="360" w:lineRule="auto"/>
              <w:rPr>
                <w:color w:val="auto"/>
                <w:sz w:val="24"/>
                <w:szCs w:val="24"/>
                <w:highlight w:val="none"/>
                <w:u w:val="single"/>
              </w:rPr>
            </w:pPr>
          </w:p>
          <w:p>
            <w:pPr>
              <w:spacing w:line="360" w:lineRule="auto"/>
              <w:ind w:firstLine="2880" w:firstLineChars="1200"/>
              <w:rPr>
                <w:color w:val="auto"/>
                <w:sz w:val="24"/>
                <w:szCs w:val="24"/>
                <w:highlight w:val="none"/>
              </w:rPr>
            </w:pPr>
            <w:r>
              <w:rPr>
                <w:rFonts w:hint="eastAsia"/>
                <w:color w:val="auto"/>
                <w:sz w:val="24"/>
                <w:szCs w:val="24"/>
                <w:highlight w:val="none"/>
              </w:rPr>
              <w:t>：</w:t>
            </w:r>
          </w:p>
          <w:p>
            <w:pPr>
              <w:spacing w:line="360" w:lineRule="auto"/>
              <w:ind w:firstLine="480" w:firstLineChars="200"/>
              <w:rPr>
                <w:color w:val="auto"/>
                <w:sz w:val="24"/>
                <w:szCs w:val="24"/>
                <w:highlight w:val="none"/>
              </w:rPr>
            </w:pPr>
            <w:r>
              <w:rPr>
                <w:rFonts w:hint="eastAsia"/>
                <w:color w:val="auto"/>
                <w:sz w:val="24"/>
                <w:szCs w:val="24"/>
                <w:highlight w:val="none"/>
              </w:rPr>
              <w:t xml:space="preserve">  本人对</w:t>
            </w:r>
            <w:r>
              <w:rPr>
                <w:rFonts w:hint="eastAsia"/>
                <w:color w:val="auto"/>
                <w:sz w:val="24"/>
                <w:szCs w:val="24"/>
                <w:highlight w:val="none"/>
                <w:u w:val="single"/>
              </w:rPr>
              <w:t xml:space="preserve">            </w:t>
            </w:r>
            <w:r>
              <w:rPr>
                <w:rFonts w:hint="eastAsia"/>
                <w:color w:val="auto"/>
                <w:sz w:val="24"/>
                <w:szCs w:val="24"/>
                <w:highlight w:val="none"/>
              </w:rPr>
              <w:t>项目的投标、开标过程无异议。</w:t>
            </w:r>
          </w:p>
          <w:p>
            <w:pPr>
              <w:spacing w:line="360" w:lineRule="auto"/>
              <w:ind w:firstLine="480" w:firstLineChars="200"/>
              <w:rPr>
                <w:color w:val="auto"/>
                <w:sz w:val="24"/>
                <w:szCs w:val="24"/>
                <w:highlight w:val="none"/>
              </w:rPr>
            </w:pPr>
          </w:p>
          <w:p>
            <w:pPr>
              <w:spacing w:line="360" w:lineRule="auto"/>
              <w:ind w:firstLine="480" w:firstLineChars="200"/>
              <w:rPr>
                <w:color w:val="auto"/>
                <w:sz w:val="24"/>
                <w:szCs w:val="24"/>
                <w:highlight w:val="none"/>
              </w:rPr>
            </w:pPr>
            <w:r>
              <w:rPr>
                <w:rFonts w:hint="eastAsia"/>
                <w:color w:val="auto"/>
                <w:sz w:val="24"/>
                <w:szCs w:val="24"/>
                <w:highlight w:val="none"/>
              </w:rPr>
              <w:t>（附：法人授权委托人身份证原件）</w:t>
            </w:r>
          </w:p>
          <w:p>
            <w:pPr>
              <w:spacing w:line="360" w:lineRule="auto"/>
              <w:ind w:firstLine="480" w:firstLineChars="200"/>
              <w:rPr>
                <w:color w:val="auto"/>
                <w:sz w:val="24"/>
                <w:szCs w:val="24"/>
                <w:highlight w:val="none"/>
              </w:rPr>
            </w:pPr>
          </w:p>
          <w:p>
            <w:pPr>
              <w:spacing w:line="360" w:lineRule="auto"/>
              <w:ind w:firstLine="480" w:firstLineChars="200"/>
              <w:jc w:val="center"/>
              <w:rPr>
                <w:color w:val="auto"/>
                <w:sz w:val="24"/>
                <w:szCs w:val="24"/>
                <w:highlight w:val="none"/>
              </w:rPr>
            </w:pPr>
            <w:r>
              <w:rPr>
                <w:rFonts w:hint="eastAsia"/>
                <w:color w:val="auto"/>
                <w:sz w:val="24"/>
                <w:szCs w:val="24"/>
                <w:highlight w:val="none"/>
                <w:lang w:val="en-US"/>
              </w:rPr>
              <w:t>投标人</w:t>
            </w:r>
            <w:r>
              <w:rPr>
                <w:rFonts w:hint="eastAsia"/>
                <w:color w:val="auto"/>
                <w:sz w:val="24"/>
                <w:szCs w:val="24"/>
                <w:highlight w:val="none"/>
              </w:rPr>
              <w:t>名称：</w:t>
            </w:r>
          </w:p>
          <w:p>
            <w:pPr>
              <w:spacing w:line="360" w:lineRule="auto"/>
              <w:ind w:firstLine="480" w:firstLineChars="200"/>
              <w:jc w:val="center"/>
              <w:rPr>
                <w:color w:val="auto"/>
                <w:sz w:val="24"/>
                <w:szCs w:val="24"/>
                <w:highlight w:val="none"/>
              </w:rPr>
            </w:pPr>
            <w:r>
              <w:rPr>
                <w:rFonts w:hint="eastAsia"/>
                <w:color w:val="auto"/>
                <w:sz w:val="24"/>
                <w:szCs w:val="24"/>
                <w:highlight w:val="none"/>
              </w:rPr>
              <w:t>法人授权委托人签名：</w:t>
            </w:r>
          </w:p>
          <w:p>
            <w:pPr>
              <w:spacing w:line="360" w:lineRule="auto"/>
              <w:ind w:firstLine="480" w:firstLineChars="200"/>
              <w:jc w:val="center"/>
              <w:rPr>
                <w:color w:val="auto"/>
                <w:sz w:val="24"/>
                <w:szCs w:val="24"/>
                <w:highlight w:val="none"/>
                <w:u w:val="single"/>
              </w:rPr>
            </w:pPr>
            <w:r>
              <w:rPr>
                <w:rFonts w:hint="eastAsia"/>
                <w:color w:val="auto"/>
                <w:sz w:val="24"/>
                <w:szCs w:val="24"/>
                <w:highlight w:val="none"/>
              </w:rPr>
              <w:t>年   月   日</w:t>
            </w:r>
          </w:p>
        </w:tc>
      </w:tr>
    </w:tbl>
    <w:p>
      <w:pPr>
        <w:snapToGrid w:val="0"/>
        <w:spacing w:line="460" w:lineRule="exact"/>
        <w:ind w:firstLine="441" w:firstLineChars="183"/>
        <w:jc w:val="both"/>
        <w:textAlignment w:val="baseline"/>
        <w:rPr>
          <w:b/>
          <w:color w:val="auto"/>
          <w:sz w:val="24"/>
          <w:szCs w:val="24"/>
          <w:highlight w:val="none"/>
        </w:rPr>
      </w:pPr>
      <w:r>
        <w:rPr>
          <w:rFonts w:hint="eastAsia"/>
          <w:b/>
          <w:color w:val="auto"/>
          <w:sz w:val="24"/>
          <w:szCs w:val="24"/>
          <w:highlight w:val="none"/>
        </w:rPr>
        <w:t>20、评标</w:t>
      </w:r>
    </w:p>
    <w:p>
      <w:pPr>
        <w:pStyle w:val="42"/>
        <w:numPr>
          <w:ilvl w:val="1"/>
          <w:numId w:val="16"/>
        </w:numPr>
        <w:snapToGrid w:val="0"/>
        <w:spacing w:line="460" w:lineRule="exact"/>
        <w:ind w:left="0" w:firstLine="478" w:firstLineChars="200"/>
        <w:jc w:val="both"/>
        <w:textAlignment w:val="baseline"/>
        <w:rPr>
          <w:color w:val="auto"/>
          <w:sz w:val="24"/>
          <w:szCs w:val="24"/>
          <w:highlight w:val="none"/>
        </w:rPr>
      </w:pPr>
      <w:r>
        <w:rPr>
          <w:rFonts w:hint="eastAsia"/>
          <w:b/>
          <w:color w:val="auto"/>
          <w:spacing w:val="-1"/>
          <w:sz w:val="24"/>
          <w:szCs w:val="24"/>
          <w:highlight w:val="none"/>
        </w:rPr>
        <w:t>评标委员会的组成：</w:t>
      </w:r>
      <w:r>
        <w:rPr>
          <w:rFonts w:hint="eastAsia"/>
          <w:color w:val="auto"/>
          <w:spacing w:val="-3"/>
          <w:sz w:val="24"/>
          <w:szCs w:val="24"/>
          <w:highlight w:val="none"/>
        </w:rPr>
        <w:t>评标委员会成员由</w:t>
      </w:r>
      <w:r>
        <w:rPr>
          <w:rFonts w:hint="eastAsia"/>
          <w:color w:val="auto"/>
          <w:spacing w:val="-3"/>
          <w:sz w:val="24"/>
          <w:szCs w:val="24"/>
          <w:highlight w:val="none"/>
          <w:lang w:val="en-US"/>
        </w:rPr>
        <w:t>3</w:t>
      </w:r>
      <w:r>
        <w:rPr>
          <w:rFonts w:hint="eastAsia"/>
          <w:color w:val="auto"/>
          <w:spacing w:val="-3"/>
          <w:sz w:val="24"/>
          <w:szCs w:val="24"/>
          <w:highlight w:val="none"/>
        </w:rPr>
        <w:t>人组成，其中招标人代表1人，评审专家</w:t>
      </w:r>
      <w:r>
        <w:rPr>
          <w:rFonts w:hint="eastAsia"/>
          <w:color w:val="auto"/>
          <w:spacing w:val="-3"/>
          <w:sz w:val="24"/>
          <w:szCs w:val="24"/>
          <w:highlight w:val="none"/>
          <w:lang w:val="en-US"/>
        </w:rPr>
        <w:t>2</w:t>
      </w:r>
      <w:r>
        <w:rPr>
          <w:rFonts w:hint="eastAsia"/>
          <w:color w:val="auto"/>
          <w:spacing w:val="-3"/>
          <w:sz w:val="24"/>
          <w:szCs w:val="24"/>
          <w:highlight w:val="none"/>
        </w:rPr>
        <w:t>人。</w:t>
      </w:r>
    </w:p>
    <w:p>
      <w:pPr>
        <w:numPr>
          <w:ilvl w:val="1"/>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投标文件有下列情形之一的，由评标委员会初审后按废标处理：</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投标文件投标函、投标报价表未按招标文件要求加盖投标人公章及法定代表人或委托代理人未签字或盖章的；</w:t>
      </w:r>
    </w:p>
    <w:p>
      <w:pPr>
        <w:numPr>
          <w:ilvl w:val="2"/>
          <w:numId w:val="1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商务标投标报价总表未加盖投标人公章的。</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企业法定代表人委托代理人没有合法、有效的委托书原件；</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投标文件未按规定的格式填写，内容不全或关键内容字迹模糊、无法辨认的；</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投标时递交两份或多份内容不同的投标文件，或在一份投标文件中对同一招标项目没有报价或者有两个或多个报价，且未声明哪一个有效；</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投标文件中未提供有效资格证明材料的；</w:t>
      </w:r>
    </w:p>
    <w:p>
      <w:pPr>
        <w:numPr>
          <w:ilvl w:val="2"/>
          <w:numId w:val="16"/>
        </w:numPr>
        <w:snapToGrid w:val="0"/>
        <w:spacing w:line="460" w:lineRule="exact"/>
        <w:ind w:left="0" w:firstLine="476" w:firstLineChars="200"/>
        <w:jc w:val="both"/>
        <w:textAlignment w:val="baseline"/>
        <w:rPr>
          <w:color w:val="auto"/>
          <w:sz w:val="24"/>
          <w:szCs w:val="24"/>
          <w:highlight w:val="none"/>
        </w:rPr>
      </w:pPr>
      <w:r>
        <w:rPr>
          <w:rFonts w:hint="eastAsia"/>
          <w:color w:val="auto"/>
          <w:spacing w:val="-1"/>
          <w:sz w:val="24"/>
          <w:szCs w:val="24"/>
          <w:highlight w:val="none"/>
        </w:rPr>
        <w:t>不同投标人的投标文件相互混装的；</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投标文件工期大于招标文件要求工期的；</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投标人修改了招标人提供的《招标采购清单》的</w:t>
      </w:r>
      <w:r>
        <w:rPr>
          <w:rFonts w:hint="eastAsia"/>
          <w:color w:val="auto"/>
          <w:sz w:val="24"/>
          <w:szCs w:val="24"/>
          <w:highlight w:val="none"/>
        </w:rPr>
        <w:t>（</w:t>
      </w:r>
      <w:r>
        <w:rPr>
          <w:rFonts w:hint="eastAsia"/>
          <w:color w:val="auto"/>
          <w:spacing w:val="-2"/>
          <w:sz w:val="24"/>
          <w:szCs w:val="24"/>
          <w:highlight w:val="none"/>
        </w:rPr>
        <w:t>经过本项目设计人和招标人认证的除外</w:t>
      </w:r>
      <w:r>
        <w:rPr>
          <w:rFonts w:hint="eastAsia"/>
          <w:color w:val="auto"/>
          <w:spacing w:val="-106"/>
          <w:sz w:val="24"/>
          <w:szCs w:val="24"/>
          <w:highlight w:val="none"/>
        </w:rPr>
        <w:t>）</w:t>
      </w:r>
      <w:r>
        <w:rPr>
          <w:rFonts w:hint="eastAsia"/>
          <w:color w:val="auto"/>
          <w:sz w:val="24"/>
          <w:szCs w:val="24"/>
          <w:highlight w:val="none"/>
        </w:rPr>
        <w:t>；</w:t>
      </w:r>
    </w:p>
    <w:p>
      <w:pPr>
        <w:numPr>
          <w:ilvl w:val="2"/>
          <w:numId w:val="16"/>
        </w:numPr>
        <w:snapToGrid w:val="0"/>
        <w:spacing w:line="460" w:lineRule="exact"/>
        <w:ind w:left="0" w:firstLine="460" w:firstLineChars="200"/>
        <w:jc w:val="both"/>
        <w:textAlignment w:val="baseline"/>
        <w:rPr>
          <w:color w:val="auto"/>
          <w:spacing w:val="-5"/>
          <w:sz w:val="24"/>
          <w:szCs w:val="24"/>
          <w:highlight w:val="none"/>
        </w:rPr>
      </w:pPr>
      <w:r>
        <w:rPr>
          <w:rFonts w:hint="eastAsia"/>
          <w:color w:val="auto"/>
          <w:spacing w:val="-5"/>
          <w:sz w:val="24"/>
          <w:szCs w:val="24"/>
          <w:highlight w:val="none"/>
        </w:rPr>
        <w:t>投标文件投标报价高于招标控制价的。</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21、评标办法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具体评标办法见第三章“评标办法”执行。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22、投标文件澄清</w:t>
      </w:r>
    </w:p>
    <w:p>
      <w:pPr>
        <w:pStyle w:val="42"/>
        <w:numPr>
          <w:ilvl w:val="1"/>
          <w:numId w:val="17"/>
        </w:numPr>
        <w:snapToGrid w:val="0"/>
        <w:spacing w:line="460" w:lineRule="exact"/>
        <w:ind w:left="-28" w:firstLine="480"/>
        <w:jc w:val="both"/>
        <w:textAlignment w:val="baseline"/>
        <w:rPr>
          <w:color w:val="auto"/>
          <w:sz w:val="24"/>
          <w:szCs w:val="24"/>
          <w:highlight w:val="none"/>
        </w:rPr>
      </w:pPr>
      <w:r>
        <w:rPr>
          <w:rFonts w:hint="eastAsia"/>
          <w:color w:val="auto"/>
          <w:sz w:val="24"/>
          <w:szCs w:val="24"/>
          <w:highlight w:val="none"/>
        </w:rPr>
        <w:t>在评标过程中，在招标投标监管人员在场的情况下，评标委员会可以用书面形式要求投标人对投标文件中含义不明确，对同类问题表述不一致或者有明显文字和计算错误的内容作必要的澄清、说明或者补正。投标人应在评标结束前用书面形式进行澄清、说明或者补正，其澄清、说明或者补正，不得超出投标文件范围或者改变投标价格、工期、自报质量等级等实质性内容。</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投标文件中的大写金额与小写金额不一致时，以大写金额为准，总价金额与单价</w:t>
      </w:r>
      <w:r>
        <w:rPr>
          <w:rFonts w:hint="eastAsia"/>
          <w:color w:val="auto"/>
          <w:spacing w:val="-10"/>
          <w:sz w:val="24"/>
          <w:szCs w:val="24"/>
          <w:highlight w:val="none"/>
        </w:rPr>
        <w:t>金额不一致时，以单价金额为准，但单价金额小数点有明显错误的除外，对不同文字文本投</w:t>
      </w:r>
      <w:r>
        <w:rPr>
          <w:rFonts w:hint="eastAsia"/>
          <w:color w:val="auto"/>
          <w:spacing w:val="-5"/>
          <w:sz w:val="24"/>
          <w:szCs w:val="24"/>
          <w:highlight w:val="none"/>
        </w:rPr>
        <w:t>标文件的解释发生异议时，以中文文本为准。</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书面答复须经投标人法定代表人或其委托代理人签字或加盖印章，签字或加盖印章的书面答复将视为投标文件的组成部分。</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在投标文件的审查、澄清、评价和比较以及合同签订过程中，投标人对招标人或招标代理机构和评标委员会成员施加影响的任何行为，都将导致取消其中标资格。</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23、定标办法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评标委员会完成评标后，应当向招标人提出书面评标报告，阐明评标委员会对各投标文件的评审和比较意见，并按照招标文件中规定的评标方法，推荐不超过3名有排序的合格的中标候选人，招标人原则上应当按照中标候选人的排序确定中标人，特殊情况不按照排序确定中标人的，招标人应向相关监督部门提出书面意见经备案后，方可从有排序的中标候选人中依序确定其他中标候选人为中标人。</w:t>
      </w:r>
    </w:p>
    <w:p>
      <w:pPr>
        <w:pStyle w:val="10"/>
        <w:snapToGrid w:val="0"/>
        <w:spacing w:line="460" w:lineRule="exact"/>
        <w:ind w:firstLine="456" w:firstLineChars="200"/>
        <w:jc w:val="both"/>
        <w:textAlignment w:val="baseline"/>
        <w:rPr>
          <w:color w:val="auto"/>
          <w:spacing w:val="-6"/>
          <w:sz w:val="24"/>
          <w:szCs w:val="24"/>
          <w:highlight w:val="none"/>
        </w:rPr>
      </w:pPr>
      <w:r>
        <w:rPr>
          <w:rFonts w:hint="eastAsia"/>
          <w:color w:val="auto"/>
          <w:spacing w:val="-6"/>
          <w:sz w:val="24"/>
          <w:szCs w:val="24"/>
          <w:highlight w:val="none"/>
        </w:rPr>
        <w:t>特殊情况是指：排名第一的中标候选人放弃中标的，因不可抗力提出不能履行合同的，弄虚作假骗取中标的。</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24、评标、定标的进行</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评标、定标工作在招投标管理机构监督下组织进行。</w:t>
      </w:r>
    </w:p>
    <w:p>
      <w:pPr>
        <w:numPr>
          <w:ilvl w:val="0"/>
          <w:numId w:val="18"/>
        </w:num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合同授予</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25、中标通知书</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定标后，招标人或招标代理机构应将评标、定标报告及有关资料以书面形式报招标投标管理机构备案，并对中标候选人上网公示，招标投标管理机构自收到书面报告之日起</w:t>
      </w:r>
      <w:r>
        <w:rPr>
          <w:rFonts w:hint="eastAsia"/>
          <w:color w:val="auto"/>
          <w:sz w:val="24"/>
          <w:szCs w:val="24"/>
          <w:highlight w:val="none"/>
          <w:lang w:val="en-US"/>
        </w:rPr>
        <w:t>5日内</w:t>
      </w:r>
      <w:r>
        <w:rPr>
          <w:rFonts w:hint="eastAsia"/>
          <w:color w:val="auto"/>
          <w:sz w:val="24"/>
          <w:szCs w:val="24"/>
          <w:highlight w:val="none"/>
        </w:rPr>
        <w:t>未通知招标人在招标投标活动中有违法行为的，招标人可以向中标人发出中标通知书。</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26、履约担保：无</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27、 合同授予</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合同授予标准</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本招标项目内合同将授予按规定确定的中标单位。</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本招标项目招标人授权评标委员会确定中标候选人。</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中标候选人将依法在指定媒体上公示后，按确定排名第一位的中标候选人为中标单位，经招标人认可并报相关管理部门备案后，向其发出中标通知书。</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中标单位接到中标通知书后按中标通知书要求签订合同。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28、合同的签订</w:t>
      </w:r>
    </w:p>
    <w:p>
      <w:pPr>
        <w:pStyle w:val="10"/>
        <w:snapToGrid w:val="0"/>
        <w:spacing w:line="460" w:lineRule="exact"/>
        <w:ind w:firstLine="444" w:firstLineChars="200"/>
        <w:jc w:val="both"/>
        <w:textAlignment w:val="baseline"/>
        <w:rPr>
          <w:color w:val="auto"/>
          <w:sz w:val="24"/>
          <w:szCs w:val="24"/>
          <w:highlight w:val="none"/>
        </w:rPr>
      </w:pPr>
      <w:r>
        <w:rPr>
          <w:rFonts w:hint="eastAsia"/>
          <w:color w:val="auto"/>
          <w:spacing w:val="-9"/>
          <w:sz w:val="24"/>
          <w:szCs w:val="24"/>
          <w:highlight w:val="none"/>
        </w:rPr>
        <w:t>中标通知书发出后，招标人和中标人应在中标通知书发出后，根据《中华人民共和国民法典</w:t>
      </w:r>
      <w:r>
        <w:rPr>
          <w:rFonts w:hint="eastAsia"/>
          <w:color w:val="auto"/>
          <w:spacing w:val="-13"/>
          <w:sz w:val="24"/>
          <w:szCs w:val="24"/>
          <w:highlight w:val="none"/>
        </w:rPr>
        <w:t>》、招标文件、中标人的投标文件和中标人订立书面合同。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29、招标人补充的其他内容</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招标人补充的其他内容：见投标人须知前附表。</w:t>
      </w:r>
    </w:p>
    <w:p>
      <w:pPr>
        <w:snapToGrid w:val="0"/>
        <w:textAlignment w:val="baseline"/>
        <w:rPr>
          <w:color w:val="auto"/>
          <w:sz w:val="20"/>
          <w:highlight w:val="none"/>
        </w:rPr>
        <w:sectPr>
          <w:footerReference r:id="rId8" w:type="default"/>
          <w:pgSz w:w="11900" w:h="16840"/>
          <w:pgMar w:top="1321" w:right="1179" w:bottom="1219" w:left="1219" w:header="879" w:footer="1020" w:gutter="0"/>
          <w:cols w:space="0" w:num="1"/>
          <w:rtlGutter w:val="0"/>
          <w:docGrid w:linePitch="0" w:charSpace="0"/>
        </w:sectPr>
      </w:pPr>
    </w:p>
    <w:p>
      <w:pPr>
        <w:rPr>
          <w:rFonts w:ascii="黑体" w:hAnsi="黑体" w:eastAsia="黑体" w:cs="黑体"/>
          <w:b/>
          <w:color w:val="auto"/>
          <w:sz w:val="32"/>
          <w:highlight w:val="none"/>
        </w:rPr>
      </w:pPr>
      <w:bookmarkStart w:id="19" w:name="_TOC_250017"/>
      <w:bookmarkEnd w:id="19"/>
      <w:bookmarkStart w:id="20" w:name="_Toc20081"/>
      <w:r>
        <w:rPr>
          <w:rFonts w:hint="eastAsia" w:ascii="黑体" w:hAnsi="黑体" w:eastAsia="黑体" w:cs="黑体"/>
          <w:b/>
          <w:color w:val="auto"/>
          <w:sz w:val="32"/>
          <w:highlight w:val="none"/>
        </w:rPr>
        <w:br w:type="page"/>
      </w:r>
    </w:p>
    <w:p>
      <w:pPr>
        <w:pStyle w:val="2"/>
        <w:tabs>
          <w:tab w:val="left" w:pos="1286"/>
        </w:tabs>
        <w:snapToGrid w:val="0"/>
        <w:spacing w:before="21" w:line="240" w:lineRule="auto"/>
        <w:textAlignment w:val="baseline"/>
        <w:rPr>
          <w:rFonts w:ascii="黑体" w:hAnsi="黑体" w:eastAsia="黑体" w:cs="黑体"/>
          <w:color w:val="auto"/>
          <w:highlight w:val="none"/>
        </w:rPr>
      </w:pPr>
      <w:r>
        <w:rPr>
          <w:rFonts w:hint="eastAsia" w:ascii="黑体" w:hAnsi="黑体" w:eastAsia="黑体" w:cs="黑体"/>
          <w:color w:val="auto"/>
          <w:highlight w:val="none"/>
        </w:rPr>
        <w:t>第三章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评标办法</w:t>
      </w:r>
      <w:bookmarkEnd w:id="20"/>
    </w:p>
    <w:p>
      <w:pPr>
        <w:snapToGrid w:val="0"/>
        <w:spacing w:line="460" w:lineRule="exact"/>
        <w:ind w:firstLine="482" w:firstLineChars="200"/>
        <w:jc w:val="both"/>
        <w:textAlignment w:val="baseline"/>
        <w:rPr>
          <w:b/>
          <w:color w:val="auto"/>
          <w:sz w:val="24"/>
          <w:szCs w:val="24"/>
          <w:highlight w:val="none"/>
          <w:lang w:val="en-US"/>
        </w:rPr>
      </w:pPr>
      <w:bookmarkStart w:id="21" w:name="_Toc11870"/>
      <w:r>
        <w:rPr>
          <w:rFonts w:hint="eastAsia"/>
          <w:b/>
          <w:color w:val="auto"/>
          <w:sz w:val="24"/>
          <w:szCs w:val="24"/>
          <w:highlight w:val="none"/>
          <w:lang w:val="en-US"/>
        </w:rPr>
        <w:t>1.资格评审标准</w:t>
      </w:r>
      <w:bookmarkEnd w:id="21"/>
    </w:p>
    <w:p>
      <w:pPr>
        <w:pStyle w:val="10"/>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本项目采取资格后审合格/不合格制</w:t>
      </w:r>
      <w:r>
        <w:rPr>
          <w:rFonts w:hint="eastAsia"/>
          <w:color w:val="auto"/>
          <w:sz w:val="24"/>
          <w:szCs w:val="24"/>
          <w:highlight w:val="none"/>
        </w:rPr>
        <w:t>。投标人提供的全部资料必须准确详细，以便本项目评标委员会做到正确判断。资格后审将完全依据投标人提供的资料，或者按评委要求对所投标文件的澄清材料。如果没按要求在投标文件中提供具体材料，如有一项认为不合格，报评标委员会审定后，可直接判定投标人资格不合格，其投标文件不予评审。</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资格后审合格条件标准</w:t>
      </w:r>
    </w:p>
    <w:tbl>
      <w:tblPr>
        <w:tblStyle w:val="26"/>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5"/>
        <w:gridCol w:w="6995"/>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300" w:type="dxa"/>
            <w:gridSpan w:val="3"/>
            <w:vAlign w:val="center"/>
          </w:tcPr>
          <w:p>
            <w:pPr>
              <w:pStyle w:val="43"/>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一、资格审查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b/>
                <w:color w:val="auto"/>
                <w:sz w:val="24"/>
                <w:szCs w:val="24"/>
                <w:highlight w:val="none"/>
              </w:rPr>
            </w:pPr>
            <w:r>
              <w:rPr>
                <w:rFonts w:hint="eastAsia"/>
                <w:b/>
                <w:color w:val="auto"/>
                <w:sz w:val="24"/>
                <w:szCs w:val="24"/>
                <w:highlight w:val="none"/>
              </w:rPr>
              <w:t>序号</w:t>
            </w:r>
          </w:p>
        </w:tc>
        <w:tc>
          <w:tcPr>
            <w:tcW w:w="6995" w:type="dxa"/>
            <w:vAlign w:val="center"/>
          </w:tcPr>
          <w:p>
            <w:pPr>
              <w:pStyle w:val="43"/>
              <w:snapToGrid w:val="0"/>
              <w:spacing w:line="460" w:lineRule="exact"/>
              <w:jc w:val="both"/>
              <w:textAlignment w:val="baseline"/>
              <w:rPr>
                <w:b/>
                <w:color w:val="auto"/>
                <w:sz w:val="24"/>
                <w:szCs w:val="24"/>
                <w:highlight w:val="none"/>
              </w:rPr>
            </w:pPr>
            <w:r>
              <w:rPr>
                <w:rFonts w:hint="eastAsia"/>
                <w:b/>
                <w:color w:val="auto"/>
                <w:sz w:val="24"/>
                <w:szCs w:val="24"/>
                <w:highlight w:val="none"/>
              </w:rPr>
              <w:t>招标文件要求</w:t>
            </w:r>
          </w:p>
        </w:tc>
        <w:tc>
          <w:tcPr>
            <w:tcW w:w="1140" w:type="dxa"/>
            <w:vAlign w:val="center"/>
          </w:tcPr>
          <w:p>
            <w:pPr>
              <w:pStyle w:val="43"/>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1</w:t>
            </w:r>
          </w:p>
        </w:tc>
        <w:tc>
          <w:tcPr>
            <w:tcW w:w="6995" w:type="dxa"/>
          </w:tcPr>
          <w:p>
            <w:pPr>
              <w:pStyle w:val="42"/>
              <w:snapToGrid w:val="0"/>
              <w:spacing w:line="460" w:lineRule="exact"/>
              <w:ind w:left="0" w:firstLine="0"/>
              <w:jc w:val="both"/>
              <w:textAlignment w:val="baseline"/>
              <w:rPr>
                <w:color w:val="auto"/>
                <w:sz w:val="24"/>
                <w:szCs w:val="24"/>
                <w:highlight w:val="none"/>
              </w:rPr>
            </w:pPr>
            <w:r>
              <w:rPr>
                <w:rFonts w:hint="eastAsia"/>
                <w:color w:val="auto"/>
                <w:sz w:val="24"/>
                <w:szCs w:val="24"/>
                <w:highlight w:val="none"/>
              </w:rPr>
              <w:t>投标人必须在中华人民共和国境内注册，具有有效的法人营业执照、税务登记证、组织机构代码证（或三证合一）。</w:t>
            </w:r>
          </w:p>
        </w:tc>
        <w:tc>
          <w:tcPr>
            <w:tcW w:w="1140" w:type="dxa"/>
            <w:vMerge w:val="restart"/>
            <w:vAlign w:val="center"/>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rPr>
              <w:t>提供扫描件，凡有一条不符合招标要求的，其投标文件将被否决。</w:t>
            </w:r>
          </w:p>
          <w:p>
            <w:pPr>
              <w:pStyle w:val="43"/>
              <w:snapToGrid w:val="0"/>
              <w:spacing w:line="460" w:lineRule="exact"/>
              <w:ind w:firstLine="480" w:firstLineChars="200"/>
              <w:jc w:val="both"/>
              <w:textAlignment w:val="baseline"/>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w:t>
            </w:r>
          </w:p>
        </w:tc>
        <w:tc>
          <w:tcPr>
            <w:tcW w:w="6995" w:type="dxa"/>
          </w:tcPr>
          <w:p>
            <w:pPr>
              <w:pStyle w:val="42"/>
              <w:numPr>
                <w:ilvl w:val="0"/>
                <w:numId w:val="0"/>
              </w:numPr>
              <w:snapToGrid w:val="0"/>
              <w:spacing w:line="460" w:lineRule="exact"/>
              <w:jc w:val="both"/>
              <w:textAlignment w:val="baseline"/>
              <w:rPr>
                <w:color w:val="auto"/>
                <w:sz w:val="24"/>
                <w:szCs w:val="24"/>
                <w:highlight w:val="none"/>
              </w:rPr>
            </w:pPr>
            <w:r>
              <w:rPr>
                <w:rFonts w:hint="eastAsia"/>
                <w:color w:val="auto"/>
                <w:sz w:val="24"/>
                <w:szCs w:val="24"/>
                <w:highlight w:val="none"/>
                <w:lang w:eastAsia="zh-CN"/>
              </w:rPr>
              <w:t>投标人所投产品须为全新合格产品，提供产品</w:t>
            </w:r>
            <w:r>
              <w:rPr>
                <w:rFonts w:hint="eastAsia"/>
                <w:color w:val="auto"/>
                <w:sz w:val="24"/>
                <w:szCs w:val="24"/>
                <w:highlight w:val="none"/>
                <w:lang w:val="en-US" w:eastAsia="zh-CN"/>
              </w:rPr>
              <w:t>3C认证</w:t>
            </w:r>
            <w:r>
              <w:rPr>
                <w:rFonts w:hint="eastAsia"/>
                <w:color w:val="auto"/>
                <w:sz w:val="24"/>
                <w:szCs w:val="24"/>
                <w:highlight w:val="none"/>
                <w:lang w:eastAsia="zh-CN"/>
              </w:rPr>
              <w:t>或产品检验报告。</w:t>
            </w:r>
          </w:p>
        </w:tc>
        <w:tc>
          <w:tcPr>
            <w:tcW w:w="1140" w:type="dxa"/>
            <w:vMerge w:val="continue"/>
          </w:tcPr>
          <w:p>
            <w:pPr>
              <w:pStyle w:val="43"/>
              <w:snapToGrid w:val="0"/>
              <w:spacing w:line="460" w:lineRule="exact"/>
              <w:ind w:firstLine="482" w:firstLineChars="200"/>
              <w:jc w:val="both"/>
              <w:textAlignment w:val="baseline"/>
              <w:rPr>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rFonts w:hint="eastAsia" w:eastAsia="宋体"/>
                <w:color w:val="auto"/>
                <w:sz w:val="24"/>
                <w:szCs w:val="24"/>
                <w:highlight w:val="none"/>
                <w:lang w:val="en-US" w:eastAsia="zh-CN"/>
              </w:rPr>
            </w:pPr>
            <w:r>
              <w:rPr>
                <w:rFonts w:hint="eastAsia"/>
                <w:color w:val="auto"/>
                <w:sz w:val="24"/>
                <w:szCs w:val="24"/>
                <w:highlight w:val="none"/>
                <w:lang w:val="en-US" w:eastAsia="zh-CN"/>
              </w:rPr>
              <w:t>3</w:t>
            </w:r>
          </w:p>
        </w:tc>
        <w:tc>
          <w:tcPr>
            <w:tcW w:w="6995" w:type="dxa"/>
          </w:tcPr>
          <w:p>
            <w:pPr>
              <w:pStyle w:val="42"/>
              <w:numPr>
                <w:ilvl w:val="0"/>
                <w:numId w:val="0"/>
              </w:numPr>
              <w:snapToGrid w:val="0"/>
              <w:spacing w:line="460" w:lineRule="exact"/>
              <w:jc w:val="both"/>
              <w:textAlignment w:val="baseline"/>
              <w:rPr>
                <w:rFonts w:hint="eastAsia"/>
                <w:color w:val="auto"/>
                <w:sz w:val="24"/>
                <w:szCs w:val="24"/>
                <w:highlight w:val="none"/>
                <w:lang w:eastAsia="zh-CN"/>
              </w:rPr>
            </w:pPr>
            <w:r>
              <w:rPr>
                <w:rFonts w:hint="eastAsia"/>
                <w:color w:val="auto"/>
                <w:sz w:val="24"/>
                <w:szCs w:val="24"/>
                <w:highlight w:val="none"/>
                <w:lang w:val="en-US" w:eastAsia="zh-CN"/>
              </w:rPr>
              <w:t>近三年(2018年1月)至少完成过</w:t>
            </w:r>
            <w:r>
              <w:rPr>
                <w:rFonts w:hint="eastAsia"/>
                <w:color w:val="auto"/>
                <w:sz w:val="24"/>
                <w:szCs w:val="24"/>
                <w:highlight w:val="none"/>
                <w:lang w:val="en-US"/>
              </w:rPr>
              <w:t>1项单项合同金额在</w:t>
            </w:r>
            <w:r>
              <w:rPr>
                <w:rFonts w:hint="eastAsia"/>
                <w:color w:val="auto"/>
                <w:sz w:val="24"/>
                <w:szCs w:val="24"/>
                <w:highlight w:val="none"/>
                <w:lang w:val="en-US" w:eastAsia="zh-CN"/>
              </w:rPr>
              <w:t>90</w:t>
            </w:r>
            <w:r>
              <w:rPr>
                <w:rFonts w:hint="eastAsia"/>
                <w:color w:val="auto"/>
                <w:sz w:val="24"/>
                <w:szCs w:val="24"/>
                <w:highlight w:val="none"/>
                <w:lang w:val="en-US"/>
              </w:rPr>
              <w:t>万元及以上的</w:t>
            </w:r>
            <w:r>
              <w:rPr>
                <w:rFonts w:hint="eastAsia"/>
                <w:color w:val="auto"/>
                <w:sz w:val="24"/>
                <w:szCs w:val="24"/>
                <w:highlight w:val="none"/>
                <w:lang w:eastAsia="zh-CN"/>
              </w:rPr>
              <w:t>密集型母线槽销售</w:t>
            </w:r>
            <w:r>
              <w:rPr>
                <w:rFonts w:hint="eastAsia"/>
                <w:color w:val="auto"/>
                <w:sz w:val="24"/>
                <w:szCs w:val="24"/>
                <w:highlight w:val="none"/>
              </w:rPr>
              <w:t>及安装</w:t>
            </w:r>
            <w:r>
              <w:rPr>
                <w:rFonts w:hint="eastAsia"/>
                <w:color w:val="auto"/>
                <w:sz w:val="24"/>
                <w:szCs w:val="24"/>
                <w:highlight w:val="none"/>
                <w:lang w:val="en-US"/>
              </w:rPr>
              <w:t>项目业绩</w:t>
            </w:r>
            <w:r>
              <w:rPr>
                <w:rFonts w:hint="eastAsia"/>
                <w:color w:val="auto"/>
                <w:sz w:val="24"/>
                <w:szCs w:val="24"/>
                <w:highlight w:val="none"/>
                <w:lang w:val="en-US" w:eastAsia="zh-CN"/>
              </w:rPr>
              <w:t>，提供销售合同或销售发票</w:t>
            </w:r>
            <w:r>
              <w:rPr>
                <w:rFonts w:hint="eastAsia"/>
                <w:color w:val="auto"/>
                <w:sz w:val="24"/>
                <w:szCs w:val="24"/>
                <w:highlight w:val="none"/>
                <w:lang w:val="en-US"/>
              </w:rPr>
              <w:t>。</w:t>
            </w:r>
          </w:p>
        </w:tc>
        <w:tc>
          <w:tcPr>
            <w:tcW w:w="1140" w:type="dxa"/>
            <w:vMerge w:val="continue"/>
          </w:tcPr>
          <w:p>
            <w:pPr>
              <w:pStyle w:val="43"/>
              <w:snapToGrid w:val="0"/>
              <w:spacing w:line="460" w:lineRule="exact"/>
              <w:ind w:firstLine="482" w:firstLineChars="200"/>
              <w:jc w:val="both"/>
              <w:textAlignment w:val="baseline"/>
              <w:rPr>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rFonts w:hint="eastAsia" w:eastAsia="宋体"/>
                <w:color w:val="auto"/>
                <w:sz w:val="24"/>
                <w:szCs w:val="24"/>
                <w:highlight w:val="none"/>
                <w:lang w:val="en-US" w:eastAsia="zh-CN"/>
              </w:rPr>
            </w:pPr>
            <w:r>
              <w:rPr>
                <w:rFonts w:hint="eastAsia"/>
                <w:color w:val="auto"/>
                <w:sz w:val="24"/>
                <w:szCs w:val="24"/>
                <w:highlight w:val="none"/>
                <w:lang w:val="en-US" w:eastAsia="zh-CN"/>
              </w:rPr>
              <w:t>4</w:t>
            </w:r>
          </w:p>
        </w:tc>
        <w:tc>
          <w:tcPr>
            <w:tcW w:w="6995" w:type="dxa"/>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lang w:val="en-US"/>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tc>
        <w:tc>
          <w:tcPr>
            <w:tcW w:w="1140" w:type="dxa"/>
            <w:vMerge w:val="continue"/>
          </w:tcPr>
          <w:p>
            <w:pPr>
              <w:pStyle w:val="43"/>
              <w:snapToGrid w:val="0"/>
              <w:spacing w:line="460" w:lineRule="exact"/>
              <w:ind w:firstLine="480" w:firstLineChars="200"/>
              <w:jc w:val="both"/>
              <w:textAlignment w:val="baseline"/>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rFonts w:hint="eastAsia" w:eastAsia="宋体"/>
                <w:color w:val="auto"/>
                <w:sz w:val="24"/>
                <w:szCs w:val="24"/>
                <w:highlight w:val="none"/>
                <w:lang w:val="en-US" w:eastAsia="zh-CN"/>
              </w:rPr>
            </w:pPr>
            <w:r>
              <w:rPr>
                <w:rFonts w:hint="eastAsia"/>
                <w:color w:val="auto"/>
                <w:sz w:val="24"/>
                <w:szCs w:val="24"/>
                <w:highlight w:val="none"/>
                <w:lang w:val="en-US" w:eastAsia="zh-CN"/>
              </w:rPr>
              <w:t>5</w:t>
            </w:r>
          </w:p>
        </w:tc>
        <w:tc>
          <w:tcPr>
            <w:tcW w:w="6995" w:type="dxa"/>
          </w:tcPr>
          <w:p>
            <w:pPr>
              <w:pStyle w:val="43"/>
              <w:snapToGrid w:val="0"/>
              <w:spacing w:line="460" w:lineRule="exact"/>
              <w:jc w:val="both"/>
              <w:textAlignment w:val="baseline"/>
              <w:rPr>
                <w:color w:val="auto"/>
                <w:sz w:val="24"/>
                <w:szCs w:val="24"/>
                <w:highlight w:val="none"/>
                <w:lang w:val="en-US"/>
              </w:rPr>
            </w:pPr>
            <w:r>
              <w:rPr>
                <w:rFonts w:hint="eastAsia"/>
                <w:color w:val="auto"/>
                <w:sz w:val="24"/>
                <w:szCs w:val="24"/>
                <w:highlight w:val="none"/>
              </w:rPr>
              <w:t>投标人必须在</w:t>
            </w:r>
            <w:r>
              <w:rPr>
                <w:rFonts w:hint="eastAsia"/>
                <w:color w:val="auto"/>
                <w:sz w:val="24"/>
                <w:szCs w:val="24"/>
                <w:highlight w:val="none"/>
                <w:lang w:val="en-US"/>
              </w:rPr>
              <w:t>“</w:t>
            </w:r>
            <w:r>
              <w:rPr>
                <w:rFonts w:hint="eastAsia"/>
                <w:color w:val="auto"/>
                <w:sz w:val="24"/>
                <w:szCs w:val="24"/>
                <w:highlight w:val="none"/>
              </w:rPr>
              <w:t>中国裁判文书网</w:t>
            </w:r>
            <w:r>
              <w:rPr>
                <w:rFonts w:hint="eastAsia"/>
                <w:color w:val="auto"/>
                <w:sz w:val="24"/>
                <w:szCs w:val="24"/>
                <w:highlight w:val="none"/>
                <w:lang w:val="en-US"/>
              </w:rPr>
              <w:t>”（https://wenshu.court.gov.cn/）</w:t>
            </w:r>
            <w:r>
              <w:rPr>
                <w:rFonts w:hint="eastAsia"/>
                <w:color w:val="auto"/>
                <w:sz w:val="24"/>
                <w:szCs w:val="24"/>
                <w:highlight w:val="none"/>
              </w:rPr>
              <w:t>查询本单位及法定代表人近三年</w:t>
            </w:r>
            <w:r>
              <w:rPr>
                <w:rFonts w:hint="eastAsia"/>
                <w:color w:val="auto"/>
                <w:sz w:val="24"/>
                <w:szCs w:val="24"/>
                <w:highlight w:val="none"/>
                <w:lang w:val="en-US"/>
              </w:rPr>
              <w:t>(</w:t>
            </w:r>
            <w:r>
              <w:rPr>
                <w:rFonts w:hint="eastAsia"/>
                <w:color w:val="auto"/>
                <w:sz w:val="24"/>
                <w:szCs w:val="24"/>
                <w:highlight w:val="none"/>
              </w:rPr>
              <w:t>查询时间段</w:t>
            </w:r>
            <w:r>
              <w:rPr>
                <w:rFonts w:hint="eastAsia"/>
                <w:color w:val="auto"/>
                <w:sz w:val="24"/>
                <w:szCs w:val="24"/>
                <w:highlight w:val="none"/>
                <w:lang w:val="en-US"/>
              </w:rPr>
              <w:t>2018</w:t>
            </w:r>
            <w:r>
              <w:rPr>
                <w:rFonts w:hint="eastAsia"/>
                <w:color w:val="auto"/>
                <w:sz w:val="24"/>
                <w:szCs w:val="24"/>
                <w:highlight w:val="none"/>
              </w:rPr>
              <w:t>年</w:t>
            </w:r>
            <w:r>
              <w:rPr>
                <w:rFonts w:hint="eastAsia"/>
                <w:color w:val="auto"/>
                <w:sz w:val="24"/>
                <w:szCs w:val="24"/>
                <w:highlight w:val="none"/>
                <w:lang w:val="en-US"/>
              </w:rPr>
              <w:t>1月</w:t>
            </w:r>
            <w:r>
              <w:rPr>
                <w:rFonts w:hint="eastAsia"/>
                <w:color w:val="auto"/>
                <w:sz w:val="24"/>
                <w:szCs w:val="24"/>
                <w:highlight w:val="none"/>
              </w:rPr>
              <w:t>至投标截止日</w:t>
            </w:r>
            <w:r>
              <w:rPr>
                <w:rFonts w:hint="eastAsia"/>
                <w:color w:val="auto"/>
                <w:sz w:val="24"/>
                <w:szCs w:val="24"/>
                <w:highlight w:val="none"/>
                <w:lang w:val="en-US"/>
              </w:rPr>
              <w:t>)</w:t>
            </w:r>
            <w:r>
              <w:rPr>
                <w:rFonts w:hint="eastAsia"/>
                <w:color w:val="auto"/>
                <w:sz w:val="24"/>
                <w:szCs w:val="24"/>
                <w:highlight w:val="none"/>
              </w:rPr>
              <w:t>是否有行贿犯罪记录并提供截图</w:t>
            </w:r>
            <w:r>
              <w:rPr>
                <w:rFonts w:hint="eastAsia"/>
                <w:color w:val="auto"/>
                <w:sz w:val="24"/>
                <w:szCs w:val="24"/>
                <w:highlight w:val="none"/>
                <w:lang w:val="en-US"/>
              </w:rPr>
              <w:t>，</w:t>
            </w:r>
            <w:r>
              <w:rPr>
                <w:rFonts w:hint="eastAsia"/>
                <w:color w:val="auto"/>
                <w:sz w:val="24"/>
                <w:szCs w:val="24"/>
                <w:highlight w:val="none"/>
              </w:rPr>
              <w:t>未提供的或有行贿犯罪记录的投标无效</w:t>
            </w:r>
            <w:r>
              <w:rPr>
                <w:rFonts w:hint="eastAsia"/>
                <w:color w:val="auto"/>
                <w:sz w:val="24"/>
                <w:szCs w:val="24"/>
                <w:highlight w:val="none"/>
                <w:lang w:val="en-US"/>
              </w:rPr>
              <w:t>，</w:t>
            </w:r>
            <w:r>
              <w:rPr>
                <w:rFonts w:hint="eastAsia"/>
                <w:color w:val="auto"/>
                <w:sz w:val="24"/>
                <w:szCs w:val="24"/>
                <w:highlight w:val="none"/>
              </w:rPr>
              <w:t>取消其投标资格。</w:t>
            </w:r>
          </w:p>
        </w:tc>
        <w:tc>
          <w:tcPr>
            <w:tcW w:w="1140" w:type="dxa"/>
            <w:vMerge w:val="continue"/>
          </w:tcPr>
          <w:p>
            <w:pPr>
              <w:pStyle w:val="43"/>
              <w:snapToGrid w:val="0"/>
              <w:spacing w:line="460" w:lineRule="exact"/>
              <w:ind w:firstLine="480" w:firstLineChars="200"/>
              <w:jc w:val="both"/>
              <w:textAlignment w:val="baseline"/>
              <w:rPr>
                <w:color w:val="auto"/>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rFonts w:hint="eastAsia" w:eastAsia="宋体"/>
                <w:color w:val="auto"/>
                <w:sz w:val="24"/>
                <w:szCs w:val="24"/>
                <w:highlight w:val="none"/>
                <w:lang w:val="en-US" w:eastAsia="zh-CN"/>
              </w:rPr>
            </w:pPr>
            <w:r>
              <w:rPr>
                <w:rFonts w:hint="eastAsia"/>
                <w:color w:val="auto"/>
                <w:sz w:val="24"/>
                <w:szCs w:val="24"/>
                <w:highlight w:val="none"/>
                <w:lang w:val="en-US" w:eastAsia="zh-CN"/>
              </w:rPr>
              <w:t>6</w:t>
            </w:r>
          </w:p>
        </w:tc>
        <w:tc>
          <w:tcPr>
            <w:tcW w:w="6995" w:type="dxa"/>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rPr>
              <w:t>是否有招标人不能接受的其他条款</w:t>
            </w:r>
          </w:p>
        </w:tc>
        <w:tc>
          <w:tcPr>
            <w:tcW w:w="1140" w:type="dxa"/>
          </w:tcPr>
          <w:p>
            <w:pPr>
              <w:pStyle w:val="43"/>
              <w:snapToGrid w:val="0"/>
              <w:spacing w:line="460" w:lineRule="exact"/>
              <w:ind w:firstLine="480" w:firstLineChars="200"/>
              <w:jc w:val="both"/>
              <w:textAlignment w:val="baseline"/>
              <w:rPr>
                <w:color w:val="auto"/>
                <w:sz w:val="24"/>
                <w:szCs w:val="24"/>
                <w:highlight w:val="none"/>
              </w:rPr>
            </w:pPr>
          </w:p>
        </w:tc>
      </w:tr>
    </w:tbl>
    <w:p>
      <w:pPr>
        <w:pStyle w:val="10"/>
        <w:snapToGrid w:val="0"/>
        <w:spacing w:line="460" w:lineRule="exact"/>
        <w:jc w:val="both"/>
        <w:textAlignment w:val="baseline"/>
        <w:rPr>
          <w:color w:val="auto"/>
          <w:sz w:val="24"/>
          <w:szCs w:val="24"/>
          <w:highlight w:val="none"/>
        </w:rPr>
      </w:pP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二、评分办法</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评标采用综合评分法。综合评分法是指评标委员会根据招标文件的要求，对投标人的技术标、商务标、价格部分三部分进行综合评审，经评审后向招标人推荐不超过三名有排序的合格的中标候选人的一种评标办法。</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按投标人投标文件送达的先后</w:t>
      </w:r>
      <w:r>
        <w:rPr>
          <w:rFonts w:hint="eastAsia"/>
          <w:color w:val="auto"/>
          <w:sz w:val="24"/>
          <w:szCs w:val="24"/>
          <w:highlight w:val="none"/>
          <w:lang w:val="en-US"/>
        </w:rPr>
        <w:t>顺</w:t>
      </w:r>
      <w:r>
        <w:rPr>
          <w:rFonts w:hint="eastAsia"/>
          <w:color w:val="auto"/>
          <w:sz w:val="24"/>
          <w:szCs w:val="24"/>
          <w:highlight w:val="none"/>
        </w:rPr>
        <w:t>序开标。投标人的投标报价超过招标控制价的为废标。评标委员会将只对通过初步评审的投标文件进行评价和比较。</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（一) 评分标准（总分100分）投标的综合得分为：</w:t>
      </w:r>
    </w:p>
    <w:tbl>
      <w:tblPr>
        <w:tblStyle w:val="26"/>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25"/>
        <w:gridCol w:w="1173"/>
        <w:gridCol w:w="765"/>
        <w:gridCol w:w="5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366" w:type="dxa"/>
            <w:gridSpan w:val="2"/>
          </w:tcPr>
          <w:p>
            <w:pPr>
              <w:snapToGrid w:val="0"/>
              <w:jc w:val="center"/>
              <w:textAlignment w:val="baseline"/>
              <w:rPr>
                <w:b/>
                <w:bCs/>
                <w:color w:val="auto"/>
                <w:sz w:val="24"/>
                <w:szCs w:val="24"/>
                <w:highlight w:val="none"/>
              </w:rPr>
            </w:pPr>
            <w:r>
              <w:rPr>
                <w:rFonts w:hint="eastAsia"/>
                <w:b/>
                <w:bCs/>
                <w:color w:val="auto"/>
                <w:sz w:val="24"/>
                <w:szCs w:val="24"/>
                <w:highlight w:val="none"/>
              </w:rPr>
              <w:t>条款号</w:t>
            </w:r>
          </w:p>
        </w:tc>
        <w:tc>
          <w:tcPr>
            <w:tcW w:w="1173" w:type="dxa"/>
          </w:tcPr>
          <w:p>
            <w:pPr>
              <w:snapToGrid w:val="0"/>
              <w:jc w:val="center"/>
              <w:textAlignment w:val="baseline"/>
              <w:rPr>
                <w:b/>
                <w:bCs/>
                <w:color w:val="auto"/>
                <w:sz w:val="24"/>
                <w:szCs w:val="24"/>
                <w:highlight w:val="none"/>
              </w:rPr>
            </w:pPr>
            <w:r>
              <w:rPr>
                <w:rFonts w:hint="eastAsia"/>
                <w:b/>
                <w:bCs/>
                <w:color w:val="auto"/>
                <w:sz w:val="24"/>
                <w:szCs w:val="24"/>
                <w:highlight w:val="none"/>
              </w:rPr>
              <w:t>评分因素</w:t>
            </w:r>
          </w:p>
        </w:tc>
        <w:tc>
          <w:tcPr>
            <w:tcW w:w="765" w:type="dxa"/>
          </w:tcPr>
          <w:p>
            <w:pPr>
              <w:snapToGrid w:val="0"/>
              <w:jc w:val="center"/>
              <w:textAlignment w:val="baseline"/>
              <w:rPr>
                <w:b/>
                <w:bCs/>
                <w:color w:val="auto"/>
                <w:sz w:val="24"/>
                <w:szCs w:val="24"/>
                <w:highlight w:val="none"/>
              </w:rPr>
            </w:pPr>
            <w:r>
              <w:rPr>
                <w:rFonts w:hint="eastAsia"/>
                <w:b/>
                <w:bCs/>
                <w:color w:val="auto"/>
                <w:sz w:val="24"/>
                <w:szCs w:val="24"/>
                <w:highlight w:val="none"/>
              </w:rPr>
              <w:t>标准分</w:t>
            </w:r>
          </w:p>
        </w:tc>
        <w:tc>
          <w:tcPr>
            <w:tcW w:w="5988" w:type="dxa"/>
          </w:tcPr>
          <w:p>
            <w:pPr>
              <w:snapToGrid w:val="0"/>
              <w:jc w:val="center"/>
              <w:textAlignment w:val="baseline"/>
              <w:rPr>
                <w:b/>
                <w:bCs/>
                <w:color w:val="auto"/>
                <w:sz w:val="24"/>
                <w:szCs w:val="24"/>
                <w:highlight w:val="none"/>
              </w:rPr>
            </w:pPr>
            <w:r>
              <w:rPr>
                <w:rFonts w:hint="eastAsia"/>
                <w:b/>
                <w:bCs/>
                <w:color w:val="auto"/>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541" w:type="dxa"/>
            <w:vAlign w:val="center"/>
          </w:tcPr>
          <w:p>
            <w:pPr>
              <w:snapToGrid w:val="0"/>
              <w:jc w:val="both"/>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1</w:t>
            </w:r>
          </w:p>
        </w:tc>
        <w:tc>
          <w:tcPr>
            <w:tcW w:w="825" w:type="dxa"/>
          </w:tcPr>
          <w:p>
            <w:pPr>
              <w:snapToGrid w:val="0"/>
              <w:jc w:val="both"/>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报价部分（</w:t>
            </w:r>
            <w:r>
              <w:rPr>
                <w:rFonts w:hint="eastAsia"/>
                <w:color w:val="auto"/>
                <w:sz w:val="24"/>
                <w:szCs w:val="24"/>
                <w:highlight w:val="none"/>
                <w:lang w:val="en-US" w:eastAsia="zh-CN"/>
              </w:rPr>
              <w:t>40</w:t>
            </w:r>
            <w:r>
              <w:rPr>
                <w:rFonts w:hint="eastAsia"/>
                <w:color w:val="auto"/>
                <w:sz w:val="24"/>
                <w:szCs w:val="24"/>
                <w:highlight w:val="none"/>
              </w:rPr>
              <w:t>）分</w:t>
            </w:r>
          </w:p>
        </w:tc>
        <w:tc>
          <w:tcPr>
            <w:tcW w:w="1173" w:type="dxa"/>
            <w:vAlign w:val="center"/>
          </w:tcPr>
          <w:p>
            <w:pPr>
              <w:snapToGrid w:val="0"/>
              <w:jc w:val="center"/>
              <w:textAlignment w:val="baseline"/>
              <w:rPr>
                <w:color w:val="auto"/>
                <w:sz w:val="24"/>
                <w:szCs w:val="24"/>
                <w:highlight w:val="none"/>
              </w:rPr>
            </w:pPr>
            <w:r>
              <w:rPr>
                <w:rFonts w:hint="eastAsia"/>
                <w:color w:val="auto"/>
                <w:sz w:val="24"/>
                <w:szCs w:val="24"/>
                <w:highlight w:val="none"/>
              </w:rPr>
              <w:t>投标报价得分</w:t>
            </w:r>
          </w:p>
        </w:tc>
        <w:tc>
          <w:tcPr>
            <w:tcW w:w="765" w:type="dxa"/>
            <w:vAlign w:val="center"/>
          </w:tcPr>
          <w:p>
            <w:pPr>
              <w:snapToGrid w:val="0"/>
              <w:jc w:val="center"/>
              <w:textAlignment w:val="baseline"/>
              <w:rPr>
                <w:color w:val="auto"/>
                <w:sz w:val="24"/>
                <w:szCs w:val="24"/>
                <w:highlight w:val="none"/>
              </w:rPr>
            </w:pPr>
            <w:r>
              <w:rPr>
                <w:rFonts w:hint="eastAsia"/>
                <w:color w:val="auto"/>
                <w:sz w:val="24"/>
                <w:szCs w:val="24"/>
                <w:highlight w:val="none"/>
                <w:lang w:val="en-US" w:eastAsia="zh-CN"/>
              </w:rPr>
              <w:t>40</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rPr>
              <w:t>基准价为评审合格的投标人投标报价去掉一个最高价、一个最低价的平均值（少于5家的，直接取平均值）。投标人报价比评标基准价每高出1%扣</w:t>
            </w:r>
            <w:r>
              <w:rPr>
                <w:rFonts w:hint="eastAsia"/>
                <w:color w:val="auto"/>
                <w:sz w:val="24"/>
                <w:szCs w:val="24"/>
                <w:highlight w:val="none"/>
                <w:lang w:val="en-US"/>
              </w:rPr>
              <w:t>1</w:t>
            </w:r>
            <w:r>
              <w:rPr>
                <w:rFonts w:hint="eastAsia"/>
                <w:color w:val="auto"/>
                <w:sz w:val="24"/>
                <w:szCs w:val="24"/>
                <w:highlight w:val="none"/>
              </w:rPr>
              <w:t>分，扣完为止；投标人报价比评标基准价每低1%扣0.</w:t>
            </w:r>
            <w:r>
              <w:rPr>
                <w:rFonts w:hint="eastAsia"/>
                <w:color w:val="auto"/>
                <w:sz w:val="24"/>
                <w:szCs w:val="24"/>
                <w:highlight w:val="none"/>
                <w:lang w:val="en-US"/>
              </w:rPr>
              <w:t>5</w:t>
            </w:r>
            <w:r>
              <w:rPr>
                <w:rFonts w:hint="eastAsia"/>
                <w:color w:val="auto"/>
                <w:sz w:val="24"/>
                <w:szCs w:val="24"/>
                <w:highlight w:val="none"/>
              </w:rPr>
              <w:t>分，扣完为止；由此得出各投标人的投标报价得分（保留小数点后两位数字，第三位四舍五入），投标价得分的计算方法：</w:t>
            </w:r>
            <w:r>
              <w:rPr>
                <w:rFonts w:hint="eastAsia"/>
                <w:color w:val="auto"/>
                <w:sz w:val="24"/>
                <w:szCs w:val="24"/>
                <w:highlight w:val="none"/>
                <w:lang w:val="en-US" w:eastAsia="zh-CN"/>
              </w:rPr>
              <w:t>40</w:t>
            </w:r>
            <w:r>
              <w:rPr>
                <w:rFonts w:hint="eastAsia"/>
                <w:color w:val="auto"/>
                <w:sz w:val="24"/>
                <w:szCs w:val="24"/>
                <w:highlight w:val="none"/>
              </w:rPr>
              <w:t>-丨（评标基准价-投标人报价）/评标基准价丨×100×E，E取值</w:t>
            </w:r>
            <w:r>
              <w:rPr>
                <w:rFonts w:hint="eastAsia"/>
                <w:color w:val="auto"/>
                <w:sz w:val="24"/>
                <w:szCs w:val="24"/>
                <w:highlight w:val="none"/>
                <w:lang w:val="en-US"/>
              </w:rPr>
              <w:t>1</w:t>
            </w:r>
            <w:r>
              <w:rPr>
                <w:rFonts w:hint="eastAsia"/>
                <w:color w:val="auto"/>
                <w:sz w:val="24"/>
                <w:szCs w:val="24"/>
                <w:highlight w:val="none"/>
              </w:rPr>
              <w:t>或</w:t>
            </w:r>
            <w:r>
              <w:rPr>
                <w:rFonts w:hint="eastAsia"/>
                <w:color w:val="auto"/>
                <w:sz w:val="24"/>
                <w:szCs w:val="24"/>
                <w:highlight w:val="none"/>
                <w:lang w:val="en-US"/>
              </w:rPr>
              <w:t>0.5</w:t>
            </w:r>
            <w:r>
              <w:rPr>
                <w:rFonts w:hint="eastAsia"/>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541" w:type="dxa"/>
            <w:vMerge w:val="restart"/>
            <w:vAlign w:val="center"/>
          </w:tcPr>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2</w:t>
            </w:r>
          </w:p>
        </w:tc>
        <w:tc>
          <w:tcPr>
            <w:tcW w:w="825" w:type="dxa"/>
            <w:vMerge w:val="restart"/>
            <w:vAlign w:val="center"/>
          </w:tcPr>
          <w:p>
            <w:pPr>
              <w:snapToGrid w:val="0"/>
              <w:jc w:val="center"/>
              <w:textAlignment w:val="baseline"/>
              <w:rPr>
                <w:color w:val="auto"/>
                <w:sz w:val="24"/>
                <w:szCs w:val="24"/>
                <w:highlight w:val="none"/>
              </w:rPr>
            </w:pPr>
            <w:r>
              <w:rPr>
                <w:rFonts w:hint="eastAsia"/>
                <w:color w:val="auto"/>
                <w:sz w:val="24"/>
                <w:szCs w:val="24"/>
                <w:highlight w:val="none"/>
              </w:rPr>
              <w:t>商务标（</w:t>
            </w:r>
            <w:r>
              <w:rPr>
                <w:rFonts w:hint="eastAsia"/>
                <w:color w:val="auto"/>
                <w:sz w:val="24"/>
                <w:szCs w:val="24"/>
                <w:highlight w:val="none"/>
                <w:lang w:val="en-US" w:eastAsia="zh-CN"/>
              </w:rPr>
              <w:t>27</w:t>
            </w:r>
            <w:r>
              <w:rPr>
                <w:rFonts w:hint="eastAsia"/>
                <w:color w:val="auto"/>
                <w:sz w:val="24"/>
                <w:szCs w:val="24"/>
                <w:highlight w:val="none"/>
              </w:rPr>
              <w:t>）分</w:t>
            </w:r>
          </w:p>
        </w:tc>
        <w:tc>
          <w:tcPr>
            <w:tcW w:w="1173" w:type="dxa"/>
            <w:vAlign w:val="center"/>
          </w:tcPr>
          <w:p>
            <w:pPr>
              <w:snapToGrid w:val="0"/>
              <w:ind w:right="-141" w:rightChars="-64"/>
              <w:jc w:val="center"/>
              <w:textAlignment w:val="baseline"/>
              <w:rPr>
                <w:color w:val="auto"/>
                <w:sz w:val="24"/>
                <w:szCs w:val="24"/>
                <w:highlight w:val="none"/>
              </w:rPr>
            </w:pPr>
            <w:r>
              <w:rPr>
                <w:rFonts w:hint="eastAsia"/>
                <w:color w:val="auto"/>
                <w:sz w:val="24"/>
                <w:szCs w:val="24"/>
                <w:highlight w:val="none"/>
              </w:rPr>
              <w:t>投标人</w:t>
            </w:r>
          </w:p>
          <w:p>
            <w:pPr>
              <w:snapToGrid w:val="0"/>
              <w:ind w:right="-141" w:rightChars="-64"/>
              <w:jc w:val="center"/>
              <w:textAlignment w:val="baseline"/>
              <w:rPr>
                <w:color w:val="auto"/>
                <w:sz w:val="24"/>
                <w:szCs w:val="24"/>
                <w:highlight w:val="none"/>
              </w:rPr>
            </w:pPr>
            <w:r>
              <w:rPr>
                <w:rFonts w:hint="eastAsia"/>
                <w:color w:val="auto"/>
                <w:sz w:val="24"/>
                <w:szCs w:val="24"/>
                <w:highlight w:val="none"/>
              </w:rPr>
              <w:t>业绩</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rPr>
              <w:t>12</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rPr>
              <w:t>近3年</w:t>
            </w:r>
            <w:r>
              <w:rPr>
                <w:rFonts w:hint="eastAsia"/>
                <w:color w:val="auto"/>
                <w:sz w:val="24"/>
                <w:szCs w:val="24"/>
                <w:highlight w:val="none"/>
                <w:lang w:eastAsia="zh-CN"/>
              </w:rPr>
              <w:t>（</w:t>
            </w:r>
            <w:r>
              <w:rPr>
                <w:rFonts w:hint="eastAsia"/>
                <w:color w:val="auto"/>
                <w:sz w:val="24"/>
                <w:szCs w:val="24"/>
                <w:highlight w:val="none"/>
                <w:lang w:val="en-US" w:eastAsia="zh-CN"/>
              </w:rPr>
              <w:t>2018年1月</w:t>
            </w:r>
            <w:r>
              <w:rPr>
                <w:rFonts w:hint="eastAsia"/>
                <w:color w:val="auto"/>
                <w:sz w:val="24"/>
                <w:szCs w:val="24"/>
                <w:highlight w:val="none"/>
                <w:lang w:eastAsia="zh-CN"/>
              </w:rPr>
              <w:t>）</w:t>
            </w:r>
            <w:r>
              <w:rPr>
                <w:rFonts w:hint="eastAsia"/>
                <w:color w:val="auto"/>
                <w:sz w:val="24"/>
                <w:szCs w:val="24"/>
                <w:highlight w:val="none"/>
              </w:rPr>
              <w:t>提供</w:t>
            </w:r>
            <w:r>
              <w:rPr>
                <w:rFonts w:hint="eastAsia"/>
                <w:color w:val="auto"/>
                <w:sz w:val="24"/>
                <w:szCs w:val="24"/>
                <w:highlight w:val="none"/>
                <w:lang w:val="en-US"/>
              </w:rPr>
              <w:t>2个单项合同金额在</w:t>
            </w:r>
            <w:r>
              <w:rPr>
                <w:rFonts w:hint="eastAsia"/>
                <w:color w:val="auto"/>
                <w:sz w:val="24"/>
                <w:szCs w:val="24"/>
                <w:highlight w:val="none"/>
                <w:lang w:val="en-US" w:eastAsia="zh-CN"/>
              </w:rPr>
              <w:t>90</w:t>
            </w:r>
            <w:r>
              <w:rPr>
                <w:rFonts w:hint="eastAsia"/>
                <w:color w:val="auto"/>
                <w:sz w:val="24"/>
                <w:szCs w:val="24"/>
                <w:highlight w:val="none"/>
                <w:lang w:val="en-US"/>
              </w:rPr>
              <w:t>万元及以上的</w:t>
            </w:r>
            <w:r>
              <w:rPr>
                <w:rFonts w:hint="eastAsia"/>
                <w:color w:val="auto"/>
                <w:sz w:val="24"/>
                <w:szCs w:val="24"/>
                <w:highlight w:val="none"/>
                <w:lang w:eastAsia="zh-CN"/>
              </w:rPr>
              <w:t>密集型母线槽销售</w:t>
            </w:r>
            <w:r>
              <w:rPr>
                <w:rFonts w:hint="eastAsia"/>
                <w:color w:val="auto"/>
                <w:sz w:val="24"/>
                <w:szCs w:val="24"/>
                <w:highlight w:val="none"/>
              </w:rPr>
              <w:t>及安装</w:t>
            </w:r>
            <w:r>
              <w:rPr>
                <w:rFonts w:hint="eastAsia"/>
                <w:color w:val="auto"/>
                <w:sz w:val="24"/>
                <w:szCs w:val="24"/>
                <w:highlight w:val="none"/>
                <w:lang w:val="en-US"/>
              </w:rPr>
              <w:t>项目业绩的得4分，</w:t>
            </w:r>
            <w:r>
              <w:rPr>
                <w:rFonts w:hint="eastAsia"/>
                <w:color w:val="auto"/>
                <w:sz w:val="24"/>
                <w:szCs w:val="24"/>
                <w:highlight w:val="none"/>
              </w:rPr>
              <w:t>每增加一个加</w:t>
            </w:r>
            <w:r>
              <w:rPr>
                <w:rFonts w:hint="eastAsia"/>
                <w:color w:val="auto"/>
                <w:sz w:val="24"/>
                <w:szCs w:val="24"/>
                <w:highlight w:val="none"/>
                <w:lang w:val="en-US"/>
              </w:rPr>
              <w:t>4</w:t>
            </w:r>
            <w:r>
              <w:rPr>
                <w:rFonts w:hint="eastAsia"/>
                <w:color w:val="auto"/>
                <w:sz w:val="24"/>
                <w:szCs w:val="24"/>
                <w:highlight w:val="none"/>
              </w:rPr>
              <w:t>分，最高</w:t>
            </w:r>
            <w:r>
              <w:rPr>
                <w:rFonts w:hint="eastAsia"/>
                <w:color w:val="auto"/>
                <w:sz w:val="24"/>
                <w:szCs w:val="24"/>
                <w:highlight w:val="none"/>
                <w:lang w:val="en-US"/>
              </w:rPr>
              <w:t>12</w:t>
            </w:r>
            <w:r>
              <w:rPr>
                <w:rFonts w:hint="eastAsia"/>
                <w:color w:val="auto"/>
                <w:sz w:val="24"/>
                <w:szCs w:val="24"/>
                <w:highlight w:val="none"/>
              </w:rPr>
              <w:t>分</w:t>
            </w:r>
            <w:r>
              <w:rPr>
                <w:rFonts w:hint="eastAsia"/>
                <w:color w:val="auto"/>
                <w:sz w:val="24"/>
                <w:szCs w:val="24"/>
                <w:highlight w:val="none"/>
                <w:lang w:eastAsia="zh-CN"/>
              </w:rPr>
              <w:t>，</w:t>
            </w:r>
            <w:r>
              <w:rPr>
                <w:rFonts w:hint="eastAsia"/>
                <w:color w:val="auto"/>
                <w:sz w:val="24"/>
                <w:szCs w:val="24"/>
                <w:highlight w:val="none"/>
                <w:lang w:val="en-US" w:eastAsia="zh-CN"/>
              </w:rPr>
              <w:t>提供销售合同或销售发票</w:t>
            </w:r>
            <w:r>
              <w:rPr>
                <w:rFonts w:hint="eastAsia"/>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rFonts w:hint="eastAsia" w:eastAsia="宋体"/>
                <w:color w:val="auto"/>
                <w:sz w:val="24"/>
                <w:szCs w:val="24"/>
                <w:highlight w:val="none"/>
                <w:lang w:val="en-US" w:eastAsia="zh-CN"/>
              </w:rPr>
            </w:pPr>
            <w:r>
              <w:rPr>
                <w:rFonts w:hint="eastAsia" w:cs="宋体"/>
                <w:color w:val="auto"/>
                <w:kern w:val="0"/>
                <w:sz w:val="24"/>
                <w:szCs w:val="24"/>
                <w:highlight w:val="none"/>
                <w:lang w:val="en-US" w:eastAsia="zh-CN"/>
              </w:rPr>
              <w:t>品牌供货</w:t>
            </w:r>
          </w:p>
        </w:tc>
        <w:tc>
          <w:tcPr>
            <w:tcW w:w="765" w:type="dxa"/>
            <w:vAlign w:val="center"/>
          </w:tcPr>
          <w:p>
            <w:pPr>
              <w:snapToGrid w:val="0"/>
              <w:jc w:val="center"/>
              <w:textAlignment w:val="baseline"/>
              <w:rPr>
                <w:rFonts w:hint="eastAsia" w:eastAsia="宋体"/>
                <w:color w:val="auto"/>
                <w:sz w:val="24"/>
                <w:szCs w:val="24"/>
                <w:highlight w:val="none"/>
                <w:lang w:val="en-US" w:eastAsia="zh-CN"/>
              </w:rPr>
            </w:pPr>
            <w:r>
              <w:rPr>
                <w:rFonts w:hint="eastAsia"/>
                <w:color w:val="auto"/>
                <w:sz w:val="24"/>
                <w:szCs w:val="24"/>
                <w:highlight w:val="none"/>
                <w:lang w:val="en-US" w:eastAsia="zh-CN"/>
              </w:rPr>
              <w:t>4分</w:t>
            </w:r>
          </w:p>
        </w:tc>
        <w:tc>
          <w:tcPr>
            <w:tcW w:w="5988" w:type="dxa"/>
          </w:tcPr>
          <w:p>
            <w:pPr>
              <w:snapToGrid w:val="0"/>
              <w:textAlignment w:val="baseline"/>
              <w:rPr>
                <w:rFonts w:hint="default"/>
                <w:color w:val="auto"/>
                <w:sz w:val="24"/>
                <w:szCs w:val="24"/>
                <w:highlight w:val="none"/>
                <w:lang w:val="en-US"/>
              </w:rPr>
            </w:pPr>
            <w:r>
              <w:rPr>
                <w:rFonts w:hint="eastAsia" w:cs="宋体"/>
                <w:color w:val="auto"/>
                <w:kern w:val="0"/>
                <w:sz w:val="24"/>
                <w:szCs w:val="24"/>
                <w:highlight w:val="none"/>
                <w:lang w:eastAsia="zh-CN"/>
              </w:rPr>
              <w:t>投标人所投产品品牌近三年内（</w:t>
            </w:r>
            <w:r>
              <w:rPr>
                <w:rFonts w:hint="eastAsia" w:cs="宋体"/>
                <w:color w:val="auto"/>
                <w:kern w:val="0"/>
                <w:sz w:val="24"/>
                <w:szCs w:val="24"/>
                <w:highlight w:val="none"/>
                <w:lang w:val="en-US" w:eastAsia="zh-CN"/>
              </w:rPr>
              <w:t>2018年1月</w:t>
            </w:r>
            <w:r>
              <w:rPr>
                <w:rFonts w:hint="eastAsia" w:cs="宋体"/>
                <w:color w:val="auto"/>
                <w:kern w:val="0"/>
                <w:sz w:val="24"/>
                <w:szCs w:val="24"/>
                <w:highlight w:val="none"/>
                <w:lang w:eastAsia="zh-CN"/>
              </w:rPr>
              <w:t>）为各省、市供电公司密集型母线的品牌供货商的得</w:t>
            </w:r>
            <w:r>
              <w:rPr>
                <w:rFonts w:hint="eastAsia" w:cs="宋体"/>
                <w:color w:val="auto"/>
                <w:kern w:val="0"/>
                <w:sz w:val="24"/>
                <w:szCs w:val="24"/>
                <w:highlight w:val="none"/>
                <w:lang w:val="en-US" w:eastAsia="zh-CN"/>
              </w:rPr>
              <w:t>4分，需提供有效的品牌供货合同。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color w:val="auto"/>
                <w:sz w:val="24"/>
                <w:szCs w:val="24"/>
                <w:highlight w:val="none"/>
              </w:rPr>
            </w:pPr>
            <w:r>
              <w:rPr>
                <w:rFonts w:hint="eastAsia"/>
                <w:color w:val="auto"/>
                <w:sz w:val="24"/>
                <w:szCs w:val="24"/>
                <w:highlight w:val="none"/>
              </w:rPr>
              <w:t>质保期</w:t>
            </w:r>
          </w:p>
        </w:tc>
        <w:tc>
          <w:tcPr>
            <w:tcW w:w="765" w:type="dxa"/>
            <w:vAlign w:val="center"/>
          </w:tcPr>
          <w:p>
            <w:pPr>
              <w:snapToGrid w:val="0"/>
              <w:jc w:val="center"/>
              <w:textAlignment w:val="baseline"/>
              <w:rPr>
                <w:color w:val="auto"/>
                <w:sz w:val="24"/>
                <w:szCs w:val="24"/>
                <w:highlight w:val="none"/>
              </w:rPr>
            </w:pPr>
            <w:r>
              <w:rPr>
                <w:rFonts w:hint="eastAsia"/>
                <w:color w:val="auto"/>
                <w:sz w:val="24"/>
                <w:szCs w:val="24"/>
                <w:highlight w:val="none"/>
                <w:lang w:val="en-US" w:eastAsia="zh-CN"/>
              </w:rPr>
              <w:t>3</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rPr>
              <w:t>提供项目期间内服务承诺，满足招标文件质保期要求基础上每增加一年得</w:t>
            </w:r>
            <w:r>
              <w:rPr>
                <w:rFonts w:hint="eastAsia"/>
                <w:color w:val="auto"/>
                <w:sz w:val="24"/>
                <w:szCs w:val="24"/>
                <w:highlight w:val="none"/>
                <w:lang w:val="en-US" w:eastAsia="zh-CN"/>
              </w:rPr>
              <w:t>1</w:t>
            </w:r>
            <w:r>
              <w:rPr>
                <w:rFonts w:hint="eastAsia"/>
                <w:color w:val="auto"/>
                <w:sz w:val="24"/>
                <w:szCs w:val="24"/>
                <w:highlight w:val="none"/>
                <w:lang w:val="en-US"/>
              </w:rPr>
              <w:t>分</w:t>
            </w:r>
            <w:r>
              <w:rPr>
                <w:rFonts w:hint="eastAsia"/>
                <w:color w:val="auto"/>
                <w:sz w:val="24"/>
                <w:szCs w:val="24"/>
                <w:highlight w:val="none"/>
              </w:rPr>
              <w:t>，最多的</w:t>
            </w:r>
            <w:r>
              <w:rPr>
                <w:rFonts w:hint="eastAsia"/>
                <w:color w:val="auto"/>
                <w:sz w:val="24"/>
                <w:szCs w:val="24"/>
                <w:highlight w:val="none"/>
                <w:lang w:val="en-US" w:eastAsia="zh-CN"/>
              </w:rPr>
              <w:t>3</w:t>
            </w:r>
            <w:r>
              <w:rPr>
                <w:rFonts w:hint="eastAsia"/>
                <w:color w:val="auto"/>
                <w:sz w:val="24"/>
                <w:szCs w:val="24"/>
                <w:highlight w:val="none"/>
                <w:lang w:val="en-U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rFonts w:hint="eastAsia" w:eastAsia="宋体"/>
                <w:color w:val="auto"/>
                <w:sz w:val="24"/>
                <w:szCs w:val="24"/>
                <w:highlight w:val="none"/>
                <w:lang w:eastAsia="zh-CN"/>
              </w:rPr>
            </w:pPr>
            <w:r>
              <w:rPr>
                <w:rFonts w:hint="eastAsia"/>
                <w:color w:val="auto"/>
                <w:sz w:val="24"/>
                <w:szCs w:val="24"/>
                <w:highlight w:val="none"/>
                <w:lang w:eastAsia="zh-CN"/>
              </w:rPr>
              <w:t>工期</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eastAsia="zh-CN"/>
              </w:rPr>
              <w:t>5</w:t>
            </w:r>
            <w:r>
              <w:rPr>
                <w:rFonts w:hint="eastAsia"/>
                <w:color w:val="auto"/>
                <w:sz w:val="24"/>
                <w:szCs w:val="24"/>
                <w:highlight w:val="none"/>
                <w:lang w:val="en-US"/>
              </w:rPr>
              <w:t>分</w:t>
            </w:r>
          </w:p>
        </w:tc>
        <w:tc>
          <w:tcPr>
            <w:tcW w:w="5988" w:type="dxa"/>
          </w:tcPr>
          <w:p>
            <w:pPr>
              <w:snapToGrid w:val="0"/>
              <w:textAlignment w:val="baseline"/>
              <w:rPr>
                <w:bCs/>
                <w:color w:val="auto"/>
                <w:sz w:val="24"/>
                <w:szCs w:val="24"/>
                <w:highlight w:val="none"/>
                <w:lang w:val="en-US"/>
              </w:rPr>
            </w:pPr>
            <w:r>
              <w:rPr>
                <w:rFonts w:hint="eastAsia"/>
                <w:bCs/>
                <w:color w:val="auto"/>
                <w:sz w:val="24"/>
                <w:szCs w:val="24"/>
                <w:highlight w:val="none"/>
                <w:lang w:val="en-US" w:eastAsia="zh-CN"/>
              </w:rPr>
              <w:t>投标人针对本项目的工期进行承诺，在30天工期基础上每减少一天得0.5分，5分为满分</w:t>
            </w:r>
            <w:r>
              <w:rPr>
                <w:rFonts w:hint="eastAsia"/>
                <w:b/>
                <w:color w:val="auto"/>
                <w:sz w:val="24"/>
                <w:szCs w:val="24"/>
                <w:highlight w:val="none"/>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color w:val="auto"/>
                <w:sz w:val="24"/>
                <w:szCs w:val="24"/>
                <w:highlight w:val="none"/>
              </w:rPr>
            </w:pPr>
            <w:r>
              <w:rPr>
                <w:rFonts w:hint="eastAsia"/>
                <w:color w:val="auto"/>
                <w:sz w:val="24"/>
                <w:szCs w:val="24"/>
                <w:highlight w:val="none"/>
              </w:rPr>
              <w:t>企业认证</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rPr>
              <w:t>3分</w:t>
            </w:r>
          </w:p>
        </w:tc>
        <w:tc>
          <w:tcPr>
            <w:tcW w:w="5988" w:type="dxa"/>
          </w:tcPr>
          <w:p>
            <w:pPr>
              <w:snapToGrid w:val="0"/>
              <w:textAlignment w:val="baseline"/>
              <w:rPr>
                <w:color w:val="auto"/>
                <w:sz w:val="24"/>
                <w:szCs w:val="24"/>
                <w:highlight w:val="none"/>
              </w:rPr>
            </w:pPr>
            <w:r>
              <w:rPr>
                <w:rFonts w:hint="eastAsia"/>
                <w:bCs/>
                <w:color w:val="auto"/>
                <w:sz w:val="24"/>
                <w:szCs w:val="24"/>
                <w:highlight w:val="none"/>
                <w:lang w:val="en-US"/>
              </w:rPr>
              <w:t>具有质量管理体系认证证书、环境管理体系认证证书、职业健康安全管理体系认证证书，每增加1项得1分，最多得3分。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541" w:type="dxa"/>
            <w:vMerge w:val="restart"/>
          </w:tcPr>
          <w:p>
            <w:pPr>
              <w:snapToGrid w:val="0"/>
              <w:textAlignment w:val="baseline"/>
              <w:rPr>
                <w:color w:val="auto"/>
                <w:sz w:val="24"/>
                <w:szCs w:val="24"/>
                <w:highlight w:val="none"/>
              </w:rPr>
            </w:pPr>
          </w:p>
          <w:p>
            <w:pPr>
              <w:pStyle w:val="17"/>
              <w:snapToGrid w:val="0"/>
              <w:textAlignment w:val="baseline"/>
              <w:rPr>
                <w:rFonts w:ascii="宋体" w:hAnsi="宋体" w:eastAsia="宋体" w:cs="宋体"/>
                <w:color w:val="auto"/>
                <w:highlight w:val="none"/>
              </w:rPr>
            </w:pPr>
          </w:p>
          <w:p>
            <w:pPr>
              <w:snapToGrid w:val="0"/>
              <w:textAlignment w:val="baseline"/>
              <w:rPr>
                <w:color w:val="auto"/>
                <w:sz w:val="24"/>
                <w:szCs w:val="24"/>
                <w:highlight w:val="none"/>
              </w:rPr>
            </w:pPr>
          </w:p>
          <w:p>
            <w:pPr>
              <w:pStyle w:val="17"/>
              <w:snapToGrid w:val="0"/>
              <w:textAlignment w:val="baseline"/>
              <w:rPr>
                <w:rFonts w:ascii="宋体" w:hAnsi="宋体" w:eastAsia="宋体" w:cs="宋体"/>
                <w:color w:val="auto"/>
                <w:highlight w:val="none"/>
              </w:rPr>
            </w:pPr>
          </w:p>
          <w:p>
            <w:pPr>
              <w:snapToGrid w:val="0"/>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3</w:t>
            </w:r>
          </w:p>
        </w:tc>
        <w:tc>
          <w:tcPr>
            <w:tcW w:w="825" w:type="dxa"/>
            <w:vMerge w:val="restart"/>
          </w:tcPr>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技术标（</w:t>
            </w:r>
            <w:r>
              <w:rPr>
                <w:rFonts w:hint="eastAsia"/>
                <w:color w:val="auto"/>
                <w:sz w:val="24"/>
                <w:szCs w:val="24"/>
                <w:highlight w:val="none"/>
                <w:lang w:val="en-US" w:eastAsia="zh-CN"/>
              </w:rPr>
              <w:t>33</w:t>
            </w:r>
            <w:r>
              <w:rPr>
                <w:rFonts w:hint="eastAsia"/>
                <w:color w:val="auto"/>
                <w:sz w:val="24"/>
                <w:szCs w:val="24"/>
                <w:highlight w:val="none"/>
              </w:rPr>
              <w:t>）分</w:t>
            </w:r>
          </w:p>
        </w:tc>
        <w:tc>
          <w:tcPr>
            <w:tcW w:w="1173" w:type="dxa"/>
            <w:vAlign w:val="center"/>
          </w:tcPr>
          <w:p>
            <w:pPr>
              <w:widowControl/>
              <w:snapToGrid w:val="0"/>
              <w:jc w:val="center"/>
              <w:textAlignment w:val="baseline"/>
              <w:rPr>
                <w:bCs/>
                <w:color w:val="auto"/>
                <w:sz w:val="24"/>
                <w:szCs w:val="24"/>
                <w:highlight w:val="none"/>
              </w:rPr>
            </w:pPr>
            <w:r>
              <w:rPr>
                <w:rFonts w:hint="eastAsia"/>
                <w:bCs/>
                <w:color w:val="auto"/>
                <w:sz w:val="24"/>
                <w:szCs w:val="24"/>
                <w:highlight w:val="none"/>
              </w:rPr>
              <w:t>技术</w:t>
            </w:r>
          </w:p>
          <w:p>
            <w:pPr>
              <w:snapToGrid w:val="0"/>
              <w:jc w:val="center"/>
              <w:textAlignment w:val="baseline"/>
              <w:rPr>
                <w:rFonts w:hint="eastAsia" w:eastAsia="宋体"/>
                <w:color w:val="auto"/>
                <w:sz w:val="24"/>
                <w:szCs w:val="24"/>
                <w:highlight w:val="none"/>
                <w:lang w:eastAsia="zh-CN"/>
              </w:rPr>
            </w:pPr>
            <w:r>
              <w:rPr>
                <w:rFonts w:hint="eastAsia"/>
                <w:color w:val="auto"/>
                <w:sz w:val="24"/>
                <w:szCs w:val="24"/>
                <w:highlight w:val="none"/>
                <w:lang w:eastAsia="zh-CN"/>
              </w:rPr>
              <w:t>响应</w:t>
            </w:r>
          </w:p>
        </w:tc>
        <w:tc>
          <w:tcPr>
            <w:tcW w:w="765" w:type="dxa"/>
            <w:vAlign w:val="center"/>
          </w:tcPr>
          <w:p>
            <w:pPr>
              <w:snapToGrid w:val="0"/>
              <w:jc w:val="center"/>
              <w:textAlignment w:val="baseline"/>
              <w:rPr>
                <w:color w:val="auto"/>
                <w:sz w:val="24"/>
                <w:szCs w:val="24"/>
                <w:highlight w:val="none"/>
              </w:rPr>
            </w:pPr>
            <w:r>
              <w:rPr>
                <w:rFonts w:hint="eastAsia"/>
                <w:color w:val="auto"/>
                <w:sz w:val="24"/>
                <w:szCs w:val="24"/>
                <w:highlight w:val="none"/>
                <w:lang w:val="en-US" w:eastAsia="zh-CN"/>
              </w:rPr>
              <w:t>17</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rPr>
              <w:t>技术参数完全满足招标文件</w:t>
            </w:r>
            <w:r>
              <w:rPr>
                <w:rFonts w:hint="eastAsia"/>
                <w:color w:val="auto"/>
                <w:sz w:val="24"/>
                <w:szCs w:val="24"/>
                <w:highlight w:val="none"/>
                <w:lang w:eastAsia="zh-CN"/>
              </w:rPr>
              <w:t>的得</w:t>
            </w:r>
            <w:r>
              <w:rPr>
                <w:rFonts w:hint="eastAsia"/>
                <w:color w:val="auto"/>
                <w:sz w:val="24"/>
                <w:szCs w:val="24"/>
                <w:highlight w:val="none"/>
                <w:lang w:val="en-US" w:eastAsia="zh-CN"/>
              </w:rPr>
              <w:t>17分，</w:t>
            </w:r>
            <w:r>
              <w:rPr>
                <w:rFonts w:hint="eastAsia"/>
                <w:color w:val="auto"/>
                <w:sz w:val="24"/>
                <w:szCs w:val="24"/>
                <w:highlight w:val="none"/>
                <w:lang w:eastAsia="zh-CN"/>
              </w:rPr>
              <w:t>标</w:t>
            </w:r>
            <w:r>
              <w:rPr>
                <w:rFonts w:hint="eastAsia" w:ascii="宋体" w:hAnsi="宋体" w:eastAsia="宋体" w:cs="宋体"/>
                <w:color w:val="auto"/>
                <w:sz w:val="24"/>
                <w:szCs w:val="24"/>
                <w:highlight w:val="none"/>
                <w:lang w:eastAsia="zh-CN"/>
              </w:rPr>
              <w:t>★</w:t>
            </w:r>
            <w:r>
              <w:rPr>
                <w:rFonts w:hint="eastAsia"/>
                <w:color w:val="auto"/>
                <w:sz w:val="24"/>
                <w:szCs w:val="24"/>
                <w:highlight w:val="none"/>
                <w:lang w:eastAsia="zh-CN"/>
              </w:rPr>
              <w:t>条款的</w:t>
            </w:r>
            <w:r>
              <w:rPr>
                <w:rFonts w:hint="eastAsia"/>
                <w:color w:val="auto"/>
                <w:sz w:val="24"/>
                <w:szCs w:val="24"/>
                <w:highlight w:val="none"/>
              </w:rPr>
              <w:t>出现负偏离（低于）招标文件要求的，每项扣</w:t>
            </w:r>
            <w:r>
              <w:rPr>
                <w:rFonts w:hint="eastAsia"/>
                <w:color w:val="auto"/>
                <w:sz w:val="24"/>
                <w:szCs w:val="24"/>
                <w:highlight w:val="none"/>
                <w:lang w:val="en-US" w:eastAsia="zh-CN"/>
              </w:rPr>
              <w:t>3</w:t>
            </w:r>
            <w:r>
              <w:rPr>
                <w:rFonts w:hint="eastAsia"/>
                <w:color w:val="auto"/>
                <w:sz w:val="24"/>
                <w:szCs w:val="24"/>
                <w:highlight w:val="none"/>
              </w:rPr>
              <w:t>分，超过三项不满足该项不得分。</w:t>
            </w:r>
            <w:r>
              <w:rPr>
                <w:rFonts w:hint="eastAsia"/>
                <w:color w:val="auto"/>
                <w:sz w:val="24"/>
                <w:szCs w:val="24"/>
                <w:highlight w:val="none"/>
                <w:lang w:eastAsia="zh-CN"/>
              </w:rPr>
              <w:t>非标</w:t>
            </w:r>
            <w:r>
              <w:rPr>
                <w:rFonts w:hint="eastAsia" w:ascii="宋体" w:hAnsi="宋体" w:eastAsia="宋体" w:cs="宋体"/>
                <w:color w:val="auto"/>
                <w:sz w:val="24"/>
                <w:szCs w:val="24"/>
                <w:highlight w:val="none"/>
                <w:lang w:eastAsia="zh-CN"/>
              </w:rPr>
              <w:t>★</w:t>
            </w:r>
            <w:r>
              <w:rPr>
                <w:rFonts w:hint="eastAsia"/>
                <w:color w:val="auto"/>
                <w:sz w:val="24"/>
                <w:szCs w:val="24"/>
                <w:highlight w:val="none"/>
                <w:lang w:eastAsia="zh-CN"/>
              </w:rPr>
              <w:t>条款的</w:t>
            </w:r>
            <w:r>
              <w:rPr>
                <w:rFonts w:hint="eastAsia"/>
                <w:color w:val="auto"/>
                <w:sz w:val="24"/>
                <w:szCs w:val="24"/>
                <w:highlight w:val="none"/>
              </w:rPr>
              <w:t>出现负偏离（低于）招标文件要求的，每项扣</w:t>
            </w:r>
            <w:r>
              <w:rPr>
                <w:rFonts w:hint="eastAsia"/>
                <w:color w:val="auto"/>
                <w:sz w:val="24"/>
                <w:szCs w:val="24"/>
                <w:highlight w:val="none"/>
                <w:lang w:val="en-US" w:eastAsia="zh-CN"/>
              </w:rPr>
              <w:t>1</w:t>
            </w:r>
            <w:r>
              <w:rPr>
                <w:rFonts w:hint="eastAsia"/>
                <w:color w:val="auto"/>
                <w:sz w:val="24"/>
                <w:szCs w:val="24"/>
                <w:highlight w:val="none"/>
              </w:rPr>
              <w:t>分</w:t>
            </w:r>
            <w:r>
              <w:rPr>
                <w:rFonts w:hint="eastAsia"/>
                <w:color w:val="auto"/>
                <w:sz w:val="24"/>
                <w:szCs w:val="24"/>
                <w:highlight w:val="none"/>
                <w:lang w:eastAsia="zh-CN"/>
              </w:rPr>
              <w:t>，扣完为止。</w:t>
            </w:r>
            <w:r>
              <w:rPr>
                <w:rFonts w:hint="eastAsia"/>
                <w:b/>
                <w:bCs/>
                <w:color w:val="auto"/>
                <w:sz w:val="24"/>
                <w:szCs w:val="24"/>
                <w:highlight w:val="none"/>
              </w:rPr>
              <w:t>投标人须承诺按技术要求的材料实施。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Merge w:val="restart"/>
            <w:vAlign w:val="center"/>
          </w:tcPr>
          <w:p>
            <w:pPr>
              <w:widowControl/>
              <w:snapToGrid w:val="0"/>
              <w:jc w:val="center"/>
              <w:textAlignment w:val="center"/>
              <w:rPr>
                <w:color w:val="auto"/>
                <w:sz w:val="24"/>
                <w:szCs w:val="24"/>
                <w:highlight w:val="none"/>
              </w:rPr>
            </w:pPr>
            <w:r>
              <w:rPr>
                <w:rFonts w:hint="eastAsia"/>
                <w:color w:val="auto"/>
                <w:sz w:val="24"/>
                <w:szCs w:val="24"/>
                <w:highlight w:val="none"/>
              </w:rPr>
              <w:t>技术</w:t>
            </w:r>
          </w:p>
          <w:p>
            <w:pPr>
              <w:widowControl/>
              <w:snapToGrid w:val="0"/>
              <w:jc w:val="center"/>
              <w:textAlignment w:val="center"/>
              <w:rPr>
                <w:rFonts w:hint="eastAsia" w:eastAsia="宋体"/>
                <w:color w:val="auto"/>
                <w:sz w:val="24"/>
                <w:szCs w:val="24"/>
                <w:highlight w:val="none"/>
                <w:lang w:eastAsia="zh-CN"/>
              </w:rPr>
            </w:pPr>
            <w:r>
              <w:rPr>
                <w:rFonts w:hint="eastAsia"/>
                <w:color w:val="auto"/>
                <w:sz w:val="24"/>
                <w:szCs w:val="24"/>
                <w:highlight w:val="none"/>
                <w:lang w:eastAsia="zh-CN"/>
              </w:rPr>
              <w:t>参数</w:t>
            </w:r>
          </w:p>
        </w:tc>
        <w:tc>
          <w:tcPr>
            <w:tcW w:w="765" w:type="dxa"/>
            <w:vMerge w:val="restart"/>
            <w:vAlign w:val="center"/>
          </w:tcPr>
          <w:p>
            <w:pPr>
              <w:widowControl/>
              <w:snapToGrid w:val="0"/>
              <w:jc w:val="center"/>
              <w:textAlignment w:val="center"/>
              <w:rPr>
                <w:color w:val="auto"/>
                <w:sz w:val="24"/>
                <w:szCs w:val="24"/>
                <w:highlight w:val="none"/>
              </w:rPr>
            </w:pPr>
            <w:r>
              <w:rPr>
                <w:rFonts w:hint="eastAsia"/>
                <w:color w:val="auto"/>
                <w:sz w:val="24"/>
                <w:szCs w:val="24"/>
                <w:highlight w:val="none"/>
                <w:lang w:val="en-US" w:eastAsia="zh-CN"/>
              </w:rPr>
              <w:t>8</w:t>
            </w:r>
            <w:r>
              <w:rPr>
                <w:rFonts w:hint="eastAsia"/>
                <w:color w:val="auto"/>
                <w:sz w:val="24"/>
                <w:szCs w:val="24"/>
                <w:highlight w:val="none"/>
              </w:rPr>
              <w:t>分</w:t>
            </w:r>
          </w:p>
        </w:tc>
        <w:tc>
          <w:tcPr>
            <w:tcW w:w="5988" w:type="dxa"/>
            <w:vAlign w:val="center"/>
          </w:tcPr>
          <w:p>
            <w:pPr>
              <w:snapToGrid w:val="0"/>
              <w:textAlignment w:val="baseline"/>
              <w:rPr>
                <w:color w:val="auto"/>
                <w:sz w:val="24"/>
                <w:szCs w:val="24"/>
                <w:highlight w:val="none"/>
              </w:rPr>
            </w:pPr>
            <w:r>
              <w:rPr>
                <w:rFonts w:hint="eastAsia"/>
                <w:color w:val="auto"/>
                <w:sz w:val="24"/>
                <w:szCs w:val="24"/>
                <w:highlight w:val="none"/>
              </w:rPr>
              <w:t>母线槽内导体及搭接导体采用 T2 电解铜作为导体材料，轧制成TMY电工硬铜排，且铜的纯度达到99.9%以上，导电率97%以上，电阻率≤0.017777Ω·mm2 /m</w:t>
            </w:r>
            <w:r>
              <w:rPr>
                <w:rFonts w:hint="eastAsia"/>
                <w:color w:val="auto"/>
                <w:sz w:val="24"/>
                <w:szCs w:val="24"/>
                <w:highlight w:val="none"/>
                <w:lang w:eastAsia="zh-CN"/>
              </w:rPr>
              <w:t>；</w:t>
            </w:r>
            <w:r>
              <w:rPr>
                <w:rFonts w:hint="eastAsia"/>
                <w:color w:val="auto"/>
                <w:sz w:val="24"/>
                <w:szCs w:val="24"/>
                <w:highlight w:val="none"/>
              </w:rPr>
              <w:t>投标时应提供铜导体纯度检测报告</w:t>
            </w:r>
            <w:r>
              <w:rPr>
                <w:rFonts w:hint="eastAsia"/>
                <w:color w:val="auto"/>
                <w:sz w:val="24"/>
                <w:szCs w:val="24"/>
                <w:highlight w:val="none"/>
                <w:lang w:eastAsia="zh-CN"/>
              </w:rPr>
              <w:t>得</w:t>
            </w:r>
            <w:r>
              <w:rPr>
                <w:rFonts w:hint="eastAsia"/>
                <w:color w:val="auto"/>
                <w:sz w:val="24"/>
                <w:szCs w:val="24"/>
                <w:highlight w:val="none"/>
                <w:lang w:val="en-US" w:eastAsia="zh-CN"/>
              </w:rPr>
              <w:t>4分</w:t>
            </w:r>
            <w:r>
              <w:rPr>
                <w:rFonts w:hint="eastAsia"/>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Merge w:val="continue"/>
            <w:vAlign w:val="center"/>
          </w:tcPr>
          <w:p>
            <w:pPr>
              <w:widowControl/>
              <w:snapToGrid w:val="0"/>
              <w:jc w:val="center"/>
              <w:textAlignment w:val="center"/>
              <w:rPr>
                <w:rFonts w:hint="eastAsia"/>
                <w:color w:val="auto"/>
                <w:sz w:val="24"/>
                <w:szCs w:val="24"/>
                <w:highlight w:val="none"/>
                <w:lang w:eastAsia="zh-CN"/>
              </w:rPr>
            </w:pPr>
          </w:p>
        </w:tc>
        <w:tc>
          <w:tcPr>
            <w:tcW w:w="765" w:type="dxa"/>
            <w:vMerge w:val="continue"/>
            <w:vAlign w:val="center"/>
          </w:tcPr>
          <w:p>
            <w:pPr>
              <w:widowControl/>
              <w:snapToGrid w:val="0"/>
              <w:jc w:val="center"/>
              <w:textAlignment w:val="center"/>
              <w:rPr>
                <w:rFonts w:hint="eastAsia"/>
                <w:color w:val="auto"/>
                <w:sz w:val="24"/>
                <w:szCs w:val="24"/>
                <w:highlight w:val="none"/>
                <w:lang w:val="en-US"/>
              </w:rPr>
            </w:pPr>
          </w:p>
        </w:tc>
        <w:tc>
          <w:tcPr>
            <w:tcW w:w="5988" w:type="dxa"/>
            <w:vAlign w:val="center"/>
          </w:tcPr>
          <w:p>
            <w:pPr>
              <w:snapToGrid w:val="0"/>
              <w:textAlignment w:val="baseline"/>
              <w:rPr>
                <w:rFonts w:hint="eastAsia"/>
                <w:color w:val="auto"/>
                <w:sz w:val="24"/>
                <w:szCs w:val="24"/>
                <w:highlight w:val="none"/>
              </w:rPr>
            </w:pPr>
            <w:r>
              <w:rPr>
                <w:rFonts w:hint="eastAsia"/>
                <w:color w:val="auto"/>
                <w:sz w:val="24"/>
                <w:szCs w:val="24"/>
                <w:highlight w:val="none"/>
              </w:rPr>
              <w:t>所有绝缘材料采用优质聚脂薄膜，全长成型包扎，包扎层数不小于 3 层，中间无接口无空气泡，绝缘耐压≥3.75KV/1min，耐热等级为 B 级（≥130℃）</w:t>
            </w:r>
            <w:r>
              <w:rPr>
                <w:rFonts w:hint="eastAsia"/>
                <w:color w:val="auto"/>
                <w:sz w:val="24"/>
                <w:szCs w:val="24"/>
                <w:highlight w:val="none"/>
                <w:lang w:eastAsia="zh-CN"/>
              </w:rPr>
              <w:t>；</w:t>
            </w:r>
            <w:r>
              <w:rPr>
                <w:rFonts w:hint="eastAsia"/>
                <w:color w:val="auto"/>
                <w:sz w:val="24"/>
                <w:szCs w:val="24"/>
                <w:highlight w:val="none"/>
              </w:rPr>
              <w:t>提供绝缘材料的第三方检测报告</w:t>
            </w:r>
            <w:r>
              <w:rPr>
                <w:rFonts w:hint="eastAsia"/>
                <w:color w:val="auto"/>
                <w:sz w:val="24"/>
                <w:szCs w:val="24"/>
                <w:highlight w:val="none"/>
                <w:lang w:eastAsia="zh-CN"/>
              </w:rPr>
              <w:t>得</w:t>
            </w:r>
            <w:r>
              <w:rPr>
                <w:rFonts w:hint="eastAsia"/>
                <w:color w:val="auto"/>
                <w:sz w:val="24"/>
                <w:szCs w:val="24"/>
                <w:highlight w:val="none"/>
                <w:lang w:val="en-US" w:eastAsia="zh-CN"/>
              </w:rPr>
              <w:t>4分</w:t>
            </w:r>
            <w:r>
              <w:rPr>
                <w:rFonts w:hint="eastAsia"/>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spacing w:line="320" w:lineRule="atLeast"/>
              <w:jc w:val="center"/>
              <w:rPr>
                <w:color w:val="auto"/>
                <w:sz w:val="24"/>
                <w:szCs w:val="24"/>
                <w:highlight w:val="none"/>
              </w:rPr>
            </w:pPr>
            <w:r>
              <w:rPr>
                <w:rFonts w:hint="eastAsia"/>
                <w:color w:val="auto"/>
                <w:sz w:val="24"/>
                <w:szCs w:val="24"/>
                <w:highlight w:val="none"/>
              </w:rPr>
              <w:t>项目组织实施方案</w:t>
            </w:r>
          </w:p>
        </w:tc>
        <w:tc>
          <w:tcPr>
            <w:tcW w:w="765" w:type="dxa"/>
            <w:vAlign w:val="center"/>
          </w:tcPr>
          <w:p>
            <w:pPr>
              <w:snapToGrid w:val="0"/>
              <w:spacing w:line="320" w:lineRule="atLeast"/>
              <w:jc w:val="center"/>
              <w:rPr>
                <w:color w:val="auto"/>
                <w:sz w:val="24"/>
                <w:szCs w:val="24"/>
                <w:highlight w:val="none"/>
                <w:lang w:val="en-US"/>
              </w:rPr>
            </w:pPr>
            <w:r>
              <w:rPr>
                <w:rFonts w:hint="eastAsia"/>
                <w:color w:val="auto"/>
                <w:sz w:val="24"/>
                <w:szCs w:val="24"/>
                <w:highlight w:val="none"/>
                <w:lang w:val="en-US" w:eastAsia="zh-CN"/>
              </w:rPr>
              <w:t>4</w:t>
            </w:r>
            <w:r>
              <w:rPr>
                <w:rFonts w:hint="eastAsia"/>
                <w:color w:val="auto"/>
                <w:sz w:val="24"/>
                <w:szCs w:val="24"/>
                <w:highlight w:val="none"/>
              </w:rPr>
              <w:t>分</w:t>
            </w:r>
          </w:p>
        </w:tc>
        <w:tc>
          <w:tcPr>
            <w:tcW w:w="5988" w:type="dxa"/>
            <w:vAlign w:val="center"/>
          </w:tcPr>
          <w:p>
            <w:pPr>
              <w:widowControl/>
              <w:rPr>
                <w:color w:val="auto"/>
                <w:sz w:val="24"/>
                <w:szCs w:val="24"/>
                <w:highlight w:val="none"/>
              </w:rPr>
            </w:pPr>
            <w:r>
              <w:rPr>
                <w:rFonts w:hint="eastAsia"/>
                <w:color w:val="auto"/>
                <w:sz w:val="24"/>
                <w:szCs w:val="24"/>
                <w:highlight w:val="none"/>
                <w:lang w:val="en-US"/>
              </w:rPr>
              <w:t>提供的方案科学、合理、针对性强、贴合项目实施要求的得</w:t>
            </w:r>
            <w:r>
              <w:rPr>
                <w:rFonts w:hint="eastAsia"/>
                <w:color w:val="auto"/>
                <w:sz w:val="24"/>
                <w:szCs w:val="24"/>
                <w:highlight w:val="none"/>
                <w:lang w:val="en-US" w:eastAsia="zh-CN"/>
              </w:rPr>
              <w:t>3-4</w:t>
            </w:r>
            <w:r>
              <w:rPr>
                <w:rFonts w:hint="eastAsia"/>
                <w:color w:val="auto"/>
                <w:sz w:val="24"/>
                <w:szCs w:val="24"/>
                <w:highlight w:val="none"/>
                <w:lang w:val="en-US"/>
              </w:rPr>
              <w:t xml:space="preserve">分； </w:t>
            </w:r>
          </w:p>
          <w:p>
            <w:pPr>
              <w:widowControl/>
              <w:ind w:right="-167" w:rightChars="-76"/>
              <w:rPr>
                <w:color w:val="auto"/>
                <w:sz w:val="24"/>
                <w:szCs w:val="24"/>
                <w:highlight w:val="none"/>
              </w:rPr>
            </w:pPr>
            <w:r>
              <w:rPr>
                <w:rFonts w:hint="eastAsia"/>
                <w:color w:val="auto"/>
                <w:sz w:val="24"/>
                <w:szCs w:val="24"/>
                <w:highlight w:val="none"/>
                <w:lang w:val="en-US"/>
              </w:rPr>
              <w:t>提供的方案合理、可行、满足项目实施要求的得2-</w:t>
            </w:r>
            <w:r>
              <w:rPr>
                <w:rFonts w:hint="eastAsia"/>
                <w:color w:val="auto"/>
                <w:sz w:val="24"/>
                <w:szCs w:val="24"/>
                <w:highlight w:val="none"/>
                <w:lang w:val="en-US" w:eastAsia="zh-CN"/>
              </w:rPr>
              <w:t>3</w:t>
            </w:r>
            <w:r>
              <w:rPr>
                <w:rFonts w:hint="eastAsia"/>
                <w:color w:val="auto"/>
                <w:sz w:val="24"/>
                <w:szCs w:val="24"/>
                <w:highlight w:val="none"/>
                <w:lang w:val="en-US"/>
              </w:rPr>
              <w:t xml:space="preserve">分； </w:t>
            </w:r>
          </w:p>
          <w:p>
            <w:pPr>
              <w:widowControl/>
              <w:rPr>
                <w:color w:val="auto"/>
                <w:sz w:val="24"/>
                <w:szCs w:val="24"/>
                <w:highlight w:val="none"/>
              </w:rPr>
            </w:pPr>
            <w:r>
              <w:rPr>
                <w:rFonts w:hint="eastAsia"/>
                <w:color w:val="auto"/>
                <w:sz w:val="24"/>
                <w:szCs w:val="24"/>
                <w:highlight w:val="none"/>
                <w:lang w:val="en-US"/>
              </w:rPr>
              <w:t xml:space="preserve">提供的方案基本可行、符合项目实施要求的得0-2分； </w:t>
            </w:r>
          </w:p>
          <w:p>
            <w:pPr>
              <w:snapToGrid w:val="0"/>
              <w:spacing w:line="320" w:lineRule="atLeast"/>
              <w:rPr>
                <w:color w:val="auto"/>
                <w:sz w:val="24"/>
                <w:szCs w:val="24"/>
                <w:highlight w:val="none"/>
                <w:lang w:val="en-US"/>
              </w:rPr>
            </w:pPr>
            <w:r>
              <w:rPr>
                <w:rFonts w:hint="eastAsia"/>
                <w:color w:val="auto"/>
                <w:sz w:val="24"/>
                <w:szCs w:val="24"/>
                <w:highlight w:val="none"/>
                <w:lang w:val="en-US"/>
              </w:rPr>
              <w:t>提供的方案不完整、不合理的不得分。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widowControl/>
              <w:snapToGrid w:val="0"/>
              <w:jc w:val="center"/>
              <w:textAlignment w:val="baseline"/>
              <w:rPr>
                <w:color w:val="auto"/>
                <w:sz w:val="24"/>
                <w:szCs w:val="24"/>
                <w:highlight w:val="none"/>
              </w:rPr>
            </w:pPr>
            <w:r>
              <w:rPr>
                <w:rFonts w:hint="eastAsia"/>
                <w:color w:val="auto"/>
                <w:sz w:val="24"/>
                <w:szCs w:val="24"/>
                <w:highlight w:val="none"/>
              </w:rPr>
              <w:t>售后服务计划</w:t>
            </w:r>
          </w:p>
        </w:tc>
        <w:tc>
          <w:tcPr>
            <w:tcW w:w="765" w:type="dxa"/>
            <w:vAlign w:val="center"/>
          </w:tcPr>
          <w:p>
            <w:pPr>
              <w:widowControl/>
              <w:snapToGrid w:val="0"/>
              <w:jc w:val="center"/>
              <w:textAlignment w:val="baseline"/>
              <w:rPr>
                <w:color w:val="auto"/>
                <w:sz w:val="24"/>
                <w:szCs w:val="24"/>
                <w:highlight w:val="none"/>
              </w:rPr>
            </w:pPr>
            <w:r>
              <w:rPr>
                <w:rFonts w:hint="eastAsia"/>
                <w:color w:val="auto"/>
                <w:sz w:val="24"/>
                <w:szCs w:val="24"/>
                <w:highlight w:val="none"/>
                <w:lang w:val="en-US"/>
              </w:rPr>
              <w:t>4</w:t>
            </w:r>
            <w:r>
              <w:rPr>
                <w:rFonts w:hint="eastAsia"/>
                <w:color w:val="auto"/>
                <w:sz w:val="24"/>
                <w:szCs w:val="24"/>
                <w:highlight w:val="none"/>
              </w:rPr>
              <w:t>分</w:t>
            </w:r>
          </w:p>
        </w:tc>
        <w:tc>
          <w:tcPr>
            <w:tcW w:w="5988" w:type="dxa"/>
          </w:tcPr>
          <w:p>
            <w:pPr>
              <w:widowControl/>
              <w:rPr>
                <w:color w:val="auto"/>
                <w:sz w:val="24"/>
                <w:szCs w:val="24"/>
                <w:highlight w:val="none"/>
                <w:lang w:val="en-US"/>
              </w:rPr>
            </w:pPr>
            <w:r>
              <w:rPr>
                <w:rFonts w:hint="eastAsia"/>
                <w:color w:val="auto"/>
                <w:sz w:val="24"/>
                <w:szCs w:val="24"/>
                <w:highlight w:val="none"/>
              </w:rPr>
              <w:t>为确保后期的维护，投标人承诺在黄石或黄石周边（2 时内能赶到现场）有设立售后服务部门，有固定的常驻人员，能为用户免费提供长期不间断服务。能提供相关证明（比如租赁合同或营业执照）的得</w:t>
            </w:r>
            <w:r>
              <w:rPr>
                <w:rFonts w:hint="eastAsia"/>
                <w:color w:val="auto"/>
                <w:sz w:val="24"/>
                <w:szCs w:val="24"/>
                <w:highlight w:val="none"/>
                <w:lang w:val="en-US"/>
              </w:rPr>
              <w:t>2</w:t>
            </w:r>
            <w:r>
              <w:rPr>
                <w:rFonts w:hint="eastAsia"/>
                <w:color w:val="auto"/>
                <w:sz w:val="24"/>
                <w:szCs w:val="24"/>
                <w:highlight w:val="none"/>
              </w:rPr>
              <w:t>分，无证明的</w:t>
            </w:r>
            <w:r>
              <w:rPr>
                <w:rFonts w:hint="eastAsia"/>
                <w:color w:val="auto"/>
                <w:sz w:val="24"/>
                <w:szCs w:val="24"/>
                <w:highlight w:val="none"/>
                <w:lang w:val="en-US"/>
              </w:rPr>
              <w:t>得0分；</w:t>
            </w:r>
          </w:p>
          <w:p>
            <w:pPr>
              <w:widowControl/>
              <w:rPr>
                <w:color w:val="auto"/>
                <w:sz w:val="24"/>
                <w:szCs w:val="24"/>
                <w:highlight w:val="none"/>
              </w:rPr>
            </w:pPr>
            <w:r>
              <w:rPr>
                <w:rFonts w:hint="eastAsia"/>
                <w:color w:val="auto"/>
                <w:sz w:val="24"/>
                <w:szCs w:val="24"/>
                <w:highlight w:val="none"/>
                <w:lang w:val="en-US"/>
              </w:rPr>
              <w:t>并有处罚措施，0-2分。</w:t>
            </w:r>
          </w:p>
        </w:tc>
      </w:tr>
    </w:tbl>
    <w:p>
      <w:pPr>
        <w:pStyle w:val="10"/>
        <w:snapToGrid w:val="0"/>
        <w:spacing w:line="460" w:lineRule="exact"/>
        <w:ind w:firstLine="480" w:firstLineChars="200"/>
        <w:jc w:val="both"/>
        <w:textAlignment w:val="baseline"/>
        <w:rPr>
          <w:color w:val="auto"/>
          <w:sz w:val="24"/>
          <w:szCs w:val="24"/>
          <w:highlight w:val="none"/>
        </w:rPr>
      </w:pP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三、计分办法</w:t>
      </w:r>
    </w:p>
    <w:p>
      <w:pPr>
        <w:pStyle w:val="42"/>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（一）评标委员会按照招标文件的要求给投标人打分，并按下列公式确定各投标人的评定分数:</w:t>
      </w:r>
      <w:r>
        <w:rPr>
          <w:rFonts w:hint="eastAsia"/>
          <w:color w:val="auto"/>
          <w:spacing w:val="-3"/>
          <w:sz w:val="24"/>
          <w:szCs w:val="24"/>
          <w:highlight w:val="none"/>
        </w:rPr>
        <w:br w:type="textWrapping"/>
      </w:r>
      <w:r>
        <w:rPr>
          <w:rFonts w:hint="eastAsia"/>
          <w:color w:val="auto"/>
          <w:spacing w:val="-3"/>
          <w:sz w:val="24"/>
          <w:szCs w:val="24"/>
          <w:highlight w:val="none"/>
        </w:rPr>
        <w:t xml:space="preserve">    评定分数=商务标得分+技术标得分+价格部分得分</w:t>
      </w:r>
    </w:p>
    <w:p>
      <w:pPr>
        <w:pStyle w:val="42"/>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（二）各投标人的最终得分为各评委所评定分数的算术平均值。</w:t>
      </w:r>
      <w:r>
        <w:rPr>
          <w:rFonts w:hint="eastAsia"/>
          <w:color w:val="auto"/>
          <w:spacing w:val="-3"/>
          <w:sz w:val="24"/>
          <w:szCs w:val="24"/>
          <w:highlight w:val="none"/>
        </w:rPr>
        <w:br w:type="textWrapping"/>
      </w:r>
      <w:r>
        <w:rPr>
          <w:rFonts w:hint="eastAsia"/>
          <w:color w:val="auto"/>
          <w:spacing w:val="-3"/>
          <w:sz w:val="24"/>
          <w:szCs w:val="24"/>
          <w:highlight w:val="none"/>
        </w:rPr>
        <w:t xml:space="preserve">    （三）各项统计、评分结果均按四舍五入方法精确到小数点后二位。</w:t>
      </w:r>
      <w:r>
        <w:rPr>
          <w:rFonts w:hint="eastAsia"/>
          <w:color w:val="auto"/>
          <w:spacing w:val="-3"/>
          <w:sz w:val="24"/>
          <w:szCs w:val="24"/>
          <w:highlight w:val="none"/>
        </w:rPr>
        <w:br w:type="textWrapping"/>
      </w:r>
      <w:r>
        <w:rPr>
          <w:rFonts w:hint="eastAsia"/>
          <w:color w:val="auto"/>
          <w:spacing w:val="-3"/>
          <w:sz w:val="24"/>
          <w:szCs w:val="24"/>
          <w:highlight w:val="none"/>
        </w:rPr>
        <w:t xml:space="preserve">    （四）评标委员会根据投标人的最终得分,按高低次序确定投标人最终的排列名次，并按照招标文件中规定，推荐不超过三名有排序的合格的中标候选人。</w:t>
      </w:r>
    </w:p>
    <w:p>
      <w:pPr>
        <w:pStyle w:val="42"/>
        <w:tabs>
          <w:tab w:val="left" w:pos="1318"/>
        </w:tabs>
        <w:snapToGrid w:val="0"/>
        <w:spacing w:line="360" w:lineRule="auto"/>
        <w:ind w:left="0" w:right="607" w:firstLine="0"/>
        <w:textAlignment w:val="baseline"/>
        <w:rPr>
          <w:color w:val="auto"/>
          <w:spacing w:val="-3"/>
          <w:sz w:val="21"/>
          <w:highlight w:val="none"/>
        </w:rPr>
      </w:pPr>
    </w:p>
    <w:p>
      <w:pPr>
        <w:pStyle w:val="42"/>
        <w:tabs>
          <w:tab w:val="left" w:pos="1318"/>
        </w:tabs>
        <w:snapToGrid w:val="0"/>
        <w:spacing w:line="360" w:lineRule="auto"/>
        <w:ind w:left="0" w:right="607" w:firstLine="408" w:firstLineChars="200"/>
        <w:textAlignment w:val="baseline"/>
        <w:rPr>
          <w:color w:val="auto"/>
          <w:spacing w:val="-3"/>
          <w:sz w:val="21"/>
          <w:highlight w:val="none"/>
        </w:rPr>
      </w:pPr>
    </w:p>
    <w:p>
      <w:pPr>
        <w:tabs>
          <w:tab w:val="left" w:pos="1286"/>
        </w:tabs>
        <w:snapToGrid w:val="0"/>
        <w:spacing w:line="360" w:lineRule="auto"/>
        <w:ind w:right="34"/>
        <w:jc w:val="center"/>
        <w:textAlignment w:val="baseline"/>
        <w:rPr>
          <w:rFonts w:ascii="黑体" w:hAnsi="黑体" w:eastAsia="黑体" w:cs="黑体"/>
          <w:b/>
          <w:color w:val="auto"/>
          <w:sz w:val="32"/>
          <w:highlight w:val="none"/>
        </w:rPr>
        <w:sectPr>
          <w:footerReference r:id="rId9" w:type="default"/>
          <w:type w:val="continuous"/>
          <w:pgSz w:w="11900" w:h="16840"/>
          <w:pgMar w:top="1321" w:right="1179" w:bottom="1219" w:left="1219" w:header="879" w:footer="1020" w:gutter="0"/>
          <w:cols w:space="0" w:num="1"/>
          <w:rtlGutter w:val="0"/>
          <w:docGrid w:linePitch="0" w:charSpace="0"/>
        </w:sectPr>
      </w:pPr>
    </w:p>
    <w:p>
      <w:pPr>
        <w:pStyle w:val="2"/>
        <w:tabs>
          <w:tab w:val="left" w:pos="1286"/>
        </w:tabs>
        <w:snapToGrid w:val="0"/>
        <w:spacing w:before="21" w:line="240" w:lineRule="auto"/>
        <w:textAlignment w:val="baseline"/>
        <w:rPr>
          <w:rFonts w:ascii="黑体" w:hAnsi="黑体" w:eastAsia="黑体" w:cs="黑体"/>
          <w:color w:val="auto"/>
          <w:highlight w:val="none"/>
        </w:rPr>
      </w:pPr>
      <w:bookmarkStart w:id="22" w:name="_Toc23554"/>
      <w:bookmarkStart w:id="23" w:name="_Toc4464"/>
      <w:r>
        <w:rPr>
          <w:rFonts w:hint="eastAsia" w:ascii="黑体" w:hAnsi="黑体" w:eastAsia="黑体" w:cs="黑体"/>
          <w:color w:val="auto"/>
          <w:highlight w:val="none"/>
        </w:rPr>
        <w:t>第四章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合同条款</w:t>
      </w:r>
      <w:bookmarkEnd w:id="22"/>
      <w:bookmarkEnd w:id="23"/>
    </w:p>
    <w:p>
      <w:pPr>
        <w:snapToGrid w:val="0"/>
        <w:jc w:val="center"/>
        <w:textAlignment w:val="baseline"/>
        <w:rPr>
          <w:color w:val="auto"/>
          <w:sz w:val="28"/>
          <w:szCs w:val="28"/>
          <w:highlight w:val="none"/>
        </w:rPr>
      </w:pPr>
      <w:r>
        <w:rPr>
          <w:rFonts w:hint="eastAsia"/>
          <w:color w:val="auto"/>
          <w:sz w:val="28"/>
          <w:szCs w:val="28"/>
          <w:highlight w:val="none"/>
        </w:rPr>
        <w:t>（参考格式）</w:t>
      </w:r>
    </w:p>
    <w:p>
      <w:pPr>
        <w:widowControl/>
        <w:snapToGrid w:val="0"/>
        <w:spacing w:line="360" w:lineRule="auto"/>
        <w:ind w:firstLine="482" w:firstLineChars="200"/>
        <w:jc w:val="both"/>
        <w:textAlignment w:val="baseline"/>
        <w:rPr>
          <w:b/>
          <w:color w:val="auto"/>
          <w:sz w:val="24"/>
          <w:szCs w:val="24"/>
          <w:highlight w:val="none"/>
          <w:lang w:val="en-US"/>
        </w:rPr>
      </w:pP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买方（采购人）：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卖方（中标人）：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甲乙双方根据《中华人民共和国民法典》及“ 项目（项目编号： ）”的招标文件、乙方的投标文件及投标承诺，经双方协商一致，共同达成如下条款：</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一、 标的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1.以招标文件采购需求及中标人投标文件中所投产品及服务内容为准。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2.合同总价是中标人参与投标时所投总价，包括项目所需生产、包装、验收、运输、质量保证、售后服务及相关服务、雇员费用、全额含税发票、合同实施过程中的应预见或不可预见费用等。</w:t>
      </w:r>
    </w:p>
    <w:p>
      <w:pPr>
        <w:widowControl/>
        <w:spacing w:line="360" w:lineRule="auto"/>
        <w:ind w:firstLine="482" w:firstLineChars="200"/>
        <w:jc w:val="both"/>
        <w:rPr>
          <w:color w:val="auto"/>
          <w:sz w:val="24"/>
          <w:szCs w:val="24"/>
          <w:highlight w:val="none"/>
        </w:rPr>
      </w:pPr>
      <w:r>
        <w:rPr>
          <w:rFonts w:hint="eastAsia"/>
          <w:b/>
          <w:color w:val="auto"/>
          <w:sz w:val="24"/>
          <w:szCs w:val="24"/>
          <w:highlight w:val="none"/>
          <w:lang w:val="en-US"/>
        </w:rPr>
        <w:t>二、</w:t>
      </w:r>
      <w:r>
        <w:rPr>
          <w:rFonts w:hint="eastAsia"/>
          <w:b/>
          <w:bCs/>
          <w:color w:val="auto"/>
          <w:sz w:val="24"/>
          <w:szCs w:val="24"/>
          <w:highlight w:val="none"/>
          <w:lang w:val="en-US"/>
        </w:rPr>
        <w:t>名称、数量及金额</w:t>
      </w:r>
      <w:r>
        <w:rPr>
          <w:rFonts w:hint="eastAsia"/>
          <w:color w:val="auto"/>
          <w:sz w:val="24"/>
          <w:szCs w:val="24"/>
          <w:highlight w:val="none"/>
          <w:lang w:val="en-US"/>
        </w:rPr>
        <w:t xml:space="preserve">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1、订购商品明细：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产品名称、型号、规格、颜色、数量、单价详见报价表。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2、订购合同总额为：¥</w:t>
      </w:r>
      <w:r>
        <w:rPr>
          <w:rFonts w:hint="eastAsia"/>
          <w:color w:val="auto"/>
          <w:sz w:val="24"/>
          <w:szCs w:val="24"/>
          <w:highlight w:val="none"/>
          <w:u w:val="single"/>
          <w:lang w:val="en-US"/>
        </w:rPr>
        <w:t xml:space="preserve">                （大写：人民币            ）</w:t>
      </w:r>
      <w:r>
        <w:rPr>
          <w:rFonts w:hint="eastAsia"/>
          <w:color w:val="auto"/>
          <w:sz w:val="24"/>
          <w:szCs w:val="24"/>
          <w:highlight w:val="none"/>
          <w:lang w:val="en-US"/>
        </w:rPr>
        <w:t xml:space="preserve">。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三、交货期要求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1.交货地点： 甲方指定地点 。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2.交货方式：运输。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3.交货时间（工期）：。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4.乙方交货时须同时提供货物清单。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四、包装、装运和运输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1.包装必须与运输方式相适应，乙方负责确定包装方式；由于不适当的包装造成货物在运输过程中有任何损坏由乙方负责。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2.包装费、运费已包含在合同总价内。</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五、保险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货物到达交货地点之前的所有保险费用和派往甲方进行服务人员的人身险和其他有关险种，以及有关费用由乙方负责。</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六、付款方式</w:t>
      </w:r>
    </w:p>
    <w:p>
      <w:pPr>
        <w:widowControl/>
        <w:snapToGrid w:val="0"/>
        <w:spacing w:line="360" w:lineRule="auto"/>
        <w:ind w:firstLine="480" w:firstLineChars="200"/>
        <w:jc w:val="both"/>
        <w:textAlignment w:val="baseline"/>
        <w:rPr>
          <w:rFonts w:hint="eastAsia"/>
          <w:color w:val="auto"/>
          <w:sz w:val="24"/>
          <w:szCs w:val="24"/>
          <w:highlight w:val="none"/>
          <w:lang w:val="en-US"/>
        </w:rPr>
      </w:pPr>
      <w:r>
        <w:rPr>
          <w:rFonts w:hint="eastAsia"/>
          <w:color w:val="auto"/>
          <w:sz w:val="24"/>
          <w:szCs w:val="24"/>
          <w:highlight w:val="none"/>
          <w:lang w:val="en-US"/>
        </w:rPr>
        <w:t>合同签订后，甲方支付合同总价款的30%作为定金。乙方根据甲方的要求送达到指定地点，安装调试完成，并经过现场验收合格后，支付至合同金额的95%，留本合同结算总价款的5%作为质保金，质保期满一次无息付清，结算金额以结算文件上甲方盖章确认的数据为准。乙方开具发票时间顺延，则甲方付款时间顺延。</w:t>
      </w:r>
    </w:p>
    <w:p>
      <w:pPr>
        <w:widowControl/>
        <w:snapToGrid w:val="0"/>
        <w:spacing w:line="360" w:lineRule="auto"/>
        <w:ind w:firstLine="482" w:firstLineChars="200"/>
        <w:jc w:val="both"/>
        <w:textAlignment w:val="baseline"/>
        <w:rPr>
          <w:rFonts w:hint="eastAsia"/>
          <w:b/>
          <w:bCs/>
          <w:color w:val="auto"/>
          <w:sz w:val="24"/>
          <w:szCs w:val="24"/>
          <w:highlight w:val="none"/>
          <w:lang w:val="en-US"/>
        </w:rPr>
      </w:pPr>
      <w:r>
        <w:rPr>
          <w:rFonts w:hint="eastAsia"/>
          <w:b/>
          <w:bCs/>
          <w:color w:val="auto"/>
          <w:sz w:val="24"/>
          <w:szCs w:val="24"/>
          <w:highlight w:val="none"/>
          <w:lang w:val="en-US" w:eastAsia="zh-CN"/>
        </w:rPr>
        <w:t>若投标人在本项目密集母线的原材料使用回收铜而非原生铜，我方可拒绝付款，直至中标人整改完成。原材料检测费用从工程款中扣除。</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七、知识产权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乙方应保证交付给甲方的货物不侵犯任何第三方的合法权益,甲方在中华人民共和国范围内合法使用乙方所提供的货物时，免受任何第三方提出的侵犯其专利权或其他知识产权的纠纷。如发生此类纠纷，由乙方承担一切责任并赔偿甲方的损失。</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八、 售后服务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售后服务承诺以中标人投标文件为准。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九、违约责任与赔偿损失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1.乙方无正当理由未能按本合同规定的交货时间交付货物并完成安装的，乙方需承担违约责任，每迟延一日，乙方向甲方承担</w:t>
      </w:r>
      <w:r>
        <w:rPr>
          <w:rFonts w:hint="eastAsia"/>
          <w:color w:val="auto"/>
          <w:sz w:val="24"/>
          <w:szCs w:val="24"/>
          <w:highlight w:val="none"/>
          <w:u w:val="single"/>
          <w:lang w:val="en-US"/>
        </w:rPr>
        <w:t>1000</w:t>
      </w:r>
      <w:r>
        <w:rPr>
          <w:rFonts w:hint="eastAsia"/>
          <w:color w:val="auto"/>
          <w:sz w:val="24"/>
          <w:szCs w:val="24"/>
          <w:highlight w:val="none"/>
          <w:lang w:val="en-US"/>
        </w:rPr>
        <w:t>元/天的违约金，并承担由此造成的一切损失。乙方延期交货达十天时，甲方有权解除合同，乙方承担由此造成的一切损失，并向甲方支付合同总价款20%的违约金。</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乙方交付的货物、提供的服务不符合招标文件、投标文件或本合同规定的或因运输、包装不当及其他原因造成标的受损的，乙方应无条件包换或包退，并承担由此发生的一切损失；如因此而造成迟延履行，乙方应按本合同延迟规定承担违约责任。甲方亦有权直接选择拒收并解除合同，乙方向甲方支付合同总价款20%的违约金，并承担由此发生的一切费用及损失。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3.甲方无正当理由拒收货物/接受服务，到期拒付货物/服务款项的，逾期付款，甲方需承担违约责任。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4.其它违约责任按《中华人民共和国民法典》处理。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十、不可抗力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1.由于政府政策、自然灾害等不可预见、不可避免、不可克服等不可抗力的原因，一方不能履行合同义务的，应当在不可抗力发生之日起 14 天内以书面形式通知对方，证明不可抗力事件的存在。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2.不可抗力事件发生后，甲方和乙方应当积极寻求以合理的方式履行本合同。如不可抗力无法消除，致使合同目的无法实现的，双方均有权解除合同，且均不互相索赔。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十一、争议解决方式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1.因货物的质量问题发生争议，由项目所在地质量技术监督局或其指定的质量鉴定单位进行质量鉴定。质量鉴定所产生的鉴定费均由乙方承担。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2.本合同发生争议，由双方协商或由监督管理部门调解解决，协商或调解不成时可以向甲方所在地的人民法院提起诉讼（在诉讼期间，除有争议部分的事项外，合同其他部分仍应继续履行）。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十二、合同生效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本合同经双方法定代表人或委托代理人签字并加盖合同专用章或公章之日起生效，合同生效日期以最后一个签字日为准。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十三、其他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1.本合同一式陆份，甲方执肆份，乙方执贰份，具有同等法律效力。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2.本合同未尽事宜，由双方协商处理。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3.除甲方事先书面同意外，乙方不得部分或全部转让其应履行的合同项下的义务。</w:t>
      </w:r>
    </w:p>
    <w:p>
      <w:pPr>
        <w:pStyle w:val="16"/>
        <w:spacing w:line="360" w:lineRule="auto"/>
        <w:ind w:firstLine="480" w:firstLineChars="200"/>
        <w:textAlignment w:val="baseline"/>
        <w:rPr>
          <w:color w:val="auto"/>
          <w:sz w:val="24"/>
          <w:szCs w:val="24"/>
          <w:highlight w:val="none"/>
        </w:rPr>
      </w:pPr>
    </w:p>
    <w:p>
      <w:pPr>
        <w:pStyle w:val="16"/>
        <w:spacing w:line="360" w:lineRule="auto"/>
        <w:ind w:firstLine="480" w:firstLineChars="200"/>
        <w:textAlignment w:val="baseline"/>
        <w:rPr>
          <w:color w:val="auto"/>
          <w:sz w:val="24"/>
          <w:szCs w:val="24"/>
          <w:highlight w:val="none"/>
        </w:rPr>
      </w:pP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甲方（盖章）：                      乙方（盖章）：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地址：                              地址：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法定代表人：                        法定代表人：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委托代理人：                        委托代理人：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电话：                              电话：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传真：                              传真：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开户银行：                          开户银行：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账号：                              账号：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签约时间： 年 月 日                  签约时间： 年 月 日</w:t>
      </w:r>
    </w:p>
    <w:p>
      <w:pPr>
        <w:pStyle w:val="16"/>
        <w:spacing w:line="360" w:lineRule="auto"/>
        <w:ind w:firstLine="480" w:firstLineChars="200"/>
        <w:textAlignment w:val="baseline"/>
        <w:rPr>
          <w:color w:val="auto"/>
          <w:sz w:val="24"/>
          <w:szCs w:val="24"/>
          <w:highlight w:val="none"/>
        </w:rPr>
      </w:pPr>
    </w:p>
    <w:p>
      <w:pPr>
        <w:pStyle w:val="16"/>
        <w:textAlignment w:val="baseline"/>
        <w:rPr>
          <w:color w:val="auto"/>
          <w:highlight w:val="none"/>
        </w:rPr>
      </w:pPr>
    </w:p>
    <w:p>
      <w:pPr>
        <w:pStyle w:val="16"/>
        <w:textAlignment w:val="baseline"/>
        <w:rPr>
          <w:color w:val="auto"/>
          <w:highlight w:val="none"/>
        </w:rPr>
      </w:pPr>
    </w:p>
    <w:p>
      <w:pPr>
        <w:widowControl/>
        <w:snapToGrid w:val="0"/>
        <w:textAlignment w:val="baseline"/>
        <w:rPr>
          <w:color w:val="auto"/>
          <w:sz w:val="20"/>
          <w:highlight w:val="none"/>
        </w:rPr>
      </w:pPr>
    </w:p>
    <w:p>
      <w:pPr>
        <w:pStyle w:val="16"/>
        <w:textAlignment w:val="baseline"/>
        <w:rPr>
          <w:color w:val="auto"/>
          <w:highlight w:val="none"/>
        </w:rPr>
      </w:pPr>
    </w:p>
    <w:p>
      <w:pPr>
        <w:pStyle w:val="16"/>
        <w:textAlignment w:val="baseline"/>
        <w:rPr>
          <w:color w:val="auto"/>
          <w:highlight w:val="none"/>
        </w:rPr>
      </w:pPr>
    </w:p>
    <w:p>
      <w:pPr>
        <w:snapToGrid w:val="0"/>
        <w:textAlignment w:val="baseline"/>
        <w:rPr>
          <w:color w:val="auto"/>
          <w:sz w:val="20"/>
          <w:highlight w:val="none"/>
        </w:rPr>
      </w:pPr>
    </w:p>
    <w:p>
      <w:pPr>
        <w:snapToGrid w:val="0"/>
        <w:spacing w:line="460" w:lineRule="exact"/>
        <w:ind w:firstLine="480" w:firstLineChars="200"/>
        <w:jc w:val="both"/>
        <w:textAlignment w:val="baseline"/>
        <w:rPr>
          <w:color w:val="auto"/>
          <w:sz w:val="24"/>
          <w:szCs w:val="24"/>
          <w:highlight w:val="none"/>
          <w:u w:val="single"/>
        </w:rPr>
      </w:pPr>
    </w:p>
    <w:p>
      <w:pPr>
        <w:tabs>
          <w:tab w:val="left" w:pos="1371"/>
        </w:tabs>
        <w:snapToGrid w:val="0"/>
        <w:spacing w:line="488" w:lineRule="exact"/>
        <w:ind w:left="102"/>
        <w:jc w:val="center"/>
        <w:textAlignment w:val="baseline"/>
        <w:rPr>
          <w:rFonts w:ascii="黑体" w:hAnsi="黑体" w:eastAsia="黑体" w:cs="黑体"/>
          <w:b/>
          <w:bCs/>
          <w:color w:val="auto"/>
          <w:sz w:val="32"/>
          <w:szCs w:val="32"/>
          <w:highlight w:val="none"/>
        </w:rPr>
        <w:sectPr>
          <w:footerReference r:id="rId10" w:type="default"/>
          <w:pgSz w:w="11900" w:h="16840"/>
          <w:pgMar w:top="1321" w:right="1179" w:bottom="1219" w:left="1219" w:header="879" w:footer="1020" w:gutter="0"/>
          <w:cols w:space="0" w:num="1"/>
          <w:rtlGutter w:val="0"/>
          <w:docGrid w:linePitch="0" w:charSpace="0"/>
        </w:sectPr>
      </w:pPr>
      <w:r>
        <w:rPr>
          <w:color w:val="auto"/>
          <w:sz w:val="20"/>
          <w:highlight w:val="none"/>
        </w:rPr>
        <w:br w:type="page"/>
      </w:r>
    </w:p>
    <w:p>
      <w:pPr>
        <w:pStyle w:val="2"/>
        <w:tabs>
          <w:tab w:val="left" w:pos="1286"/>
        </w:tabs>
        <w:snapToGrid w:val="0"/>
        <w:spacing w:before="21" w:line="720" w:lineRule="auto"/>
        <w:textAlignment w:val="baseline"/>
        <w:rPr>
          <w:color w:val="auto"/>
          <w:sz w:val="24"/>
          <w:szCs w:val="24"/>
          <w:highlight w:val="none"/>
        </w:rPr>
      </w:pPr>
      <w:bookmarkStart w:id="24" w:name="_Toc22978"/>
      <w:r>
        <w:rPr>
          <w:rFonts w:hint="eastAsia" w:ascii="黑体" w:hAnsi="黑体" w:eastAsia="黑体" w:cs="黑体"/>
          <w:color w:val="auto"/>
          <w:highlight w:val="none"/>
        </w:rPr>
        <w:t>第五章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技术要求及说明</w:t>
      </w:r>
      <w:bookmarkEnd w:id="24"/>
    </w:p>
    <w:p>
      <w:pPr>
        <w:pStyle w:val="3"/>
        <w:numPr>
          <w:ilvl w:val="0"/>
          <w:numId w:val="0"/>
        </w:numPr>
        <w:snapToGrid w:val="0"/>
        <w:spacing w:line="460" w:lineRule="exact"/>
        <w:jc w:val="both"/>
        <w:textAlignment w:val="baseline"/>
        <w:rPr>
          <w:b w:val="0"/>
          <w:color w:val="auto"/>
          <w:highlight w:val="none"/>
          <w:lang w:val="en-US"/>
        </w:rPr>
      </w:pPr>
      <w:bookmarkStart w:id="25" w:name="_TOC_250015"/>
      <w:bookmarkEnd w:id="25"/>
      <w:r>
        <w:rPr>
          <w:rFonts w:hint="eastAsia"/>
          <w:color w:val="auto"/>
          <w:highlight w:val="none"/>
          <w:lang w:val="en-US" w:eastAsia="zh-CN"/>
        </w:rPr>
        <w:t>一、</w:t>
      </w:r>
      <w:r>
        <w:rPr>
          <w:rFonts w:hint="eastAsia"/>
          <w:color w:val="auto"/>
          <w:highlight w:val="none"/>
          <w:lang w:val="en-US"/>
        </w:rPr>
        <w:t>设备技术要求</w:t>
      </w:r>
    </w:p>
    <w:p>
      <w:pPr>
        <w:pStyle w:val="40"/>
        <w:ind w:firstLine="0" w:firstLineChars="0"/>
        <w:rPr>
          <w:color w:val="auto"/>
          <w:highlight w:val="none"/>
        </w:rPr>
      </w:pPr>
    </w:p>
    <w:p>
      <w:pPr>
        <w:widowControl/>
        <w:snapToGrid w:val="0"/>
        <w:spacing w:line="360" w:lineRule="auto"/>
        <w:ind w:firstLine="480" w:firstLineChars="200"/>
        <w:jc w:val="both"/>
        <w:textAlignment w:val="baseline"/>
        <w:rPr>
          <w:rFonts w:hint="eastAsia"/>
          <w:color w:val="auto"/>
          <w:sz w:val="24"/>
          <w:szCs w:val="24"/>
          <w:highlight w:val="none"/>
        </w:rPr>
      </w:pPr>
      <w:bookmarkStart w:id="26" w:name="_Toc257404121"/>
      <w:r>
        <w:rPr>
          <w:rFonts w:hint="eastAsia"/>
          <w:color w:val="auto"/>
          <w:sz w:val="24"/>
          <w:szCs w:val="24"/>
          <w:highlight w:val="none"/>
        </w:rPr>
        <w:t>1 范围</w:t>
      </w:r>
      <w:bookmarkEnd w:id="26"/>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本技术规范规定了全封闭式密集铜母线槽的使用条件、主要技术参数、功能设计、结构、性能、安装和试验等方面的技术要求。</w:t>
      </w:r>
      <w:bookmarkStart w:id="27" w:name="_Toc257404122"/>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2 规范性引用文件</w:t>
      </w:r>
      <w:bookmarkEnd w:id="27"/>
    </w:p>
    <w:p>
      <w:pPr>
        <w:widowControl/>
        <w:snapToGrid w:val="0"/>
        <w:spacing w:line="360" w:lineRule="auto"/>
        <w:ind w:firstLine="480" w:firstLineChars="200"/>
        <w:jc w:val="both"/>
        <w:textAlignment w:val="baseline"/>
        <w:rPr>
          <w:rFonts w:hint="default"/>
          <w:color w:val="auto"/>
          <w:sz w:val="24"/>
          <w:szCs w:val="24"/>
          <w:highlight w:val="none"/>
        </w:rPr>
      </w:pPr>
      <w:r>
        <w:rPr>
          <w:rFonts w:hint="default"/>
          <w:color w:val="auto"/>
          <w:sz w:val="24"/>
          <w:szCs w:val="24"/>
          <w:highlight w:val="none"/>
        </w:rPr>
        <w:t>供货方应使用最新颁布执行的国家标准、行业标准和IEC标准，在用户方同意时可以使用其他性能更高的标准。行业标准中已对产品质量分等作出规定的条款，供货方所提供的产品性能应达到</w:t>
      </w:r>
      <w:r>
        <w:rPr>
          <w:rFonts w:hint="eastAsia"/>
          <w:color w:val="auto"/>
          <w:sz w:val="24"/>
          <w:szCs w:val="24"/>
          <w:highlight w:val="none"/>
          <w:lang w:eastAsia="zh-CN"/>
        </w:rPr>
        <w:t>合格品</w:t>
      </w:r>
      <w:r>
        <w:rPr>
          <w:rFonts w:hint="default"/>
          <w:color w:val="auto"/>
          <w:sz w:val="24"/>
          <w:szCs w:val="24"/>
          <w:highlight w:val="none"/>
        </w:rPr>
        <w:t>的标准。</w:t>
      </w:r>
    </w:p>
    <w:p>
      <w:pPr>
        <w:widowControl/>
        <w:snapToGrid w:val="0"/>
        <w:spacing w:line="360" w:lineRule="auto"/>
        <w:ind w:firstLine="480" w:firstLineChars="200"/>
        <w:jc w:val="both"/>
        <w:textAlignment w:val="baseline"/>
        <w:rPr>
          <w:rFonts w:hint="default"/>
          <w:color w:val="auto"/>
          <w:sz w:val="24"/>
          <w:szCs w:val="24"/>
          <w:highlight w:val="none"/>
        </w:rPr>
      </w:pPr>
      <w:r>
        <w:rPr>
          <w:rFonts w:hint="default"/>
          <w:color w:val="auto"/>
          <w:sz w:val="24"/>
          <w:szCs w:val="24"/>
          <w:highlight w:val="none"/>
        </w:rPr>
        <w:t xml:space="preserve">GB 4208  </w:t>
      </w:r>
      <w:r>
        <w:rPr>
          <w:rFonts w:hint="eastAsia"/>
          <w:color w:val="auto"/>
          <w:sz w:val="24"/>
          <w:szCs w:val="24"/>
          <w:highlight w:val="none"/>
          <w:lang w:val="en-US" w:eastAsia="zh-CN"/>
        </w:rPr>
        <w:t xml:space="preserve"> </w:t>
      </w:r>
      <w:r>
        <w:rPr>
          <w:rFonts w:hint="default"/>
          <w:color w:val="auto"/>
          <w:sz w:val="24"/>
          <w:szCs w:val="24"/>
          <w:highlight w:val="none"/>
        </w:rPr>
        <w:t>外壳防护等级</w:t>
      </w:r>
    </w:p>
    <w:p>
      <w:pPr>
        <w:widowControl/>
        <w:snapToGrid w:val="0"/>
        <w:spacing w:line="360" w:lineRule="auto"/>
        <w:ind w:firstLine="480" w:firstLineChars="200"/>
        <w:jc w:val="both"/>
        <w:textAlignment w:val="baseline"/>
        <w:rPr>
          <w:rFonts w:hint="default"/>
          <w:color w:val="auto"/>
          <w:sz w:val="24"/>
          <w:szCs w:val="24"/>
          <w:highlight w:val="none"/>
        </w:rPr>
      </w:pPr>
      <w:r>
        <w:rPr>
          <w:rFonts w:hint="default"/>
          <w:color w:val="auto"/>
          <w:sz w:val="24"/>
          <w:szCs w:val="24"/>
          <w:highlight w:val="none"/>
        </w:rPr>
        <w:t>GB 5585.1  电工用铜、铝及其合金母线  第1部分:铜和铜合金母线</w:t>
      </w:r>
    </w:p>
    <w:p>
      <w:pPr>
        <w:widowControl/>
        <w:snapToGrid w:val="0"/>
        <w:spacing w:line="360" w:lineRule="auto"/>
        <w:ind w:firstLine="480" w:firstLineChars="200"/>
        <w:jc w:val="both"/>
        <w:textAlignment w:val="baseline"/>
        <w:rPr>
          <w:rFonts w:hint="default"/>
          <w:color w:val="auto"/>
          <w:sz w:val="24"/>
          <w:szCs w:val="24"/>
          <w:highlight w:val="none"/>
        </w:rPr>
      </w:pPr>
      <w:r>
        <w:rPr>
          <w:rFonts w:hint="default"/>
          <w:color w:val="auto"/>
          <w:sz w:val="24"/>
          <w:szCs w:val="24"/>
          <w:highlight w:val="none"/>
        </w:rPr>
        <w:t>GB 7251.1  低压成套开关设备和控制设备  第1部分：型式试验和部分型式试验成套设备</w:t>
      </w:r>
    </w:p>
    <w:p>
      <w:pPr>
        <w:widowControl/>
        <w:snapToGrid w:val="0"/>
        <w:spacing w:line="360" w:lineRule="auto"/>
        <w:ind w:firstLine="480" w:firstLineChars="200"/>
        <w:jc w:val="both"/>
        <w:textAlignment w:val="baseline"/>
        <w:rPr>
          <w:rFonts w:hint="default"/>
          <w:color w:val="auto"/>
          <w:sz w:val="24"/>
          <w:szCs w:val="24"/>
          <w:highlight w:val="none"/>
        </w:rPr>
      </w:pPr>
      <w:r>
        <w:rPr>
          <w:rFonts w:hint="default"/>
          <w:color w:val="auto"/>
          <w:sz w:val="24"/>
          <w:szCs w:val="24"/>
          <w:highlight w:val="none"/>
        </w:rPr>
        <w:t>GB 7251.2  低压成套开关设备和控制设备  第2部分：对母线干线系统（母线槽）的特殊要求</w:t>
      </w:r>
    </w:p>
    <w:p>
      <w:pPr>
        <w:widowControl/>
        <w:snapToGrid w:val="0"/>
        <w:spacing w:line="360" w:lineRule="auto"/>
        <w:ind w:firstLine="480" w:firstLineChars="200"/>
        <w:jc w:val="both"/>
        <w:textAlignment w:val="baseline"/>
        <w:rPr>
          <w:rFonts w:hint="default"/>
          <w:color w:val="auto"/>
          <w:sz w:val="24"/>
          <w:szCs w:val="24"/>
          <w:highlight w:val="none"/>
          <w:lang w:val="en-US" w:eastAsia="zh-CN"/>
        </w:rPr>
      </w:pPr>
      <w:r>
        <w:rPr>
          <w:rFonts w:hint="default"/>
          <w:color w:val="auto"/>
          <w:sz w:val="24"/>
          <w:szCs w:val="24"/>
          <w:highlight w:val="none"/>
        </w:rPr>
        <w:t>JB/T 9662-</w:t>
      </w:r>
      <w:r>
        <w:rPr>
          <w:rFonts w:hint="default"/>
          <w:color w:val="auto"/>
          <w:sz w:val="24"/>
          <w:szCs w:val="24"/>
          <w:highlight w:val="none"/>
          <w:lang w:val="en-US" w:eastAsia="zh-CN"/>
        </w:rPr>
        <w:t>2011  密集绝缘母线槽</w:t>
      </w:r>
    </w:p>
    <w:p>
      <w:pPr>
        <w:widowControl/>
        <w:snapToGrid w:val="0"/>
        <w:spacing w:line="360" w:lineRule="auto"/>
        <w:ind w:firstLine="480" w:firstLineChars="200"/>
        <w:jc w:val="both"/>
        <w:textAlignment w:val="baseline"/>
        <w:rPr>
          <w:rFonts w:hint="default"/>
          <w:color w:val="auto"/>
          <w:sz w:val="24"/>
          <w:szCs w:val="24"/>
          <w:highlight w:val="none"/>
        </w:rPr>
      </w:pPr>
      <w:r>
        <w:rPr>
          <w:rFonts w:hint="default"/>
          <w:color w:val="auto"/>
          <w:sz w:val="24"/>
          <w:szCs w:val="24"/>
          <w:highlight w:val="none"/>
        </w:rPr>
        <w:t xml:space="preserve">JB/T 3085  </w:t>
      </w:r>
      <w:r>
        <w:rPr>
          <w:rFonts w:hint="eastAsia"/>
          <w:color w:val="auto"/>
          <w:sz w:val="24"/>
          <w:szCs w:val="24"/>
          <w:highlight w:val="none"/>
          <w:lang w:val="en-US" w:eastAsia="zh-CN"/>
        </w:rPr>
        <w:t xml:space="preserve"> </w:t>
      </w:r>
      <w:r>
        <w:rPr>
          <w:rFonts w:hint="default"/>
          <w:color w:val="auto"/>
          <w:sz w:val="24"/>
          <w:szCs w:val="24"/>
          <w:highlight w:val="none"/>
        </w:rPr>
        <w:t xml:space="preserve">电力传动控制装置的产品包装与运输规程 </w:t>
      </w:r>
    </w:p>
    <w:p>
      <w:pPr>
        <w:widowControl/>
        <w:snapToGrid w:val="0"/>
        <w:spacing w:line="360" w:lineRule="auto"/>
        <w:ind w:firstLine="480" w:firstLineChars="200"/>
        <w:jc w:val="both"/>
        <w:textAlignment w:val="baseline"/>
        <w:rPr>
          <w:rFonts w:hint="default"/>
          <w:color w:val="auto"/>
          <w:sz w:val="24"/>
          <w:szCs w:val="24"/>
          <w:highlight w:val="none"/>
        </w:rPr>
      </w:pPr>
      <w:r>
        <w:rPr>
          <w:rFonts w:hint="default"/>
          <w:color w:val="auto"/>
          <w:sz w:val="24"/>
          <w:szCs w:val="24"/>
          <w:highlight w:val="none"/>
        </w:rPr>
        <w:t>JB/T 3752.1  低压成套开关设备和控制设备  产品型号编制办法  第1部分：低压成套开关设备</w:t>
      </w:r>
    </w:p>
    <w:p>
      <w:pPr>
        <w:widowControl/>
        <w:snapToGrid w:val="0"/>
        <w:spacing w:line="360" w:lineRule="auto"/>
        <w:ind w:firstLine="480" w:firstLineChars="200"/>
        <w:jc w:val="both"/>
        <w:textAlignment w:val="baseline"/>
        <w:rPr>
          <w:rFonts w:hint="default"/>
          <w:color w:val="auto"/>
          <w:sz w:val="24"/>
          <w:szCs w:val="24"/>
          <w:highlight w:val="none"/>
          <w:lang w:val="en-US" w:eastAsia="zh-CN"/>
        </w:rPr>
      </w:pPr>
      <w:r>
        <w:rPr>
          <w:rFonts w:hint="default"/>
          <w:color w:val="auto"/>
          <w:sz w:val="24"/>
          <w:szCs w:val="24"/>
          <w:highlight w:val="none"/>
        </w:rPr>
        <w:t>IEC439</w:t>
      </w:r>
      <w:r>
        <w:rPr>
          <w:rFonts w:hint="default"/>
          <w:color w:val="auto"/>
          <w:sz w:val="24"/>
          <w:szCs w:val="24"/>
          <w:highlight w:val="none"/>
          <w:lang w:val="en-US" w:eastAsia="zh-CN"/>
        </w:rPr>
        <w:t xml:space="preserve">  </w:t>
      </w:r>
      <w:r>
        <w:rPr>
          <w:rFonts w:hint="eastAsia"/>
          <w:color w:val="auto"/>
          <w:sz w:val="24"/>
          <w:szCs w:val="24"/>
          <w:highlight w:val="none"/>
          <w:lang w:val="en-US" w:eastAsia="zh-CN"/>
        </w:rPr>
        <w:t xml:space="preserve"> </w:t>
      </w:r>
      <w:r>
        <w:rPr>
          <w:rFonts w:hint="default"/>
          <w:color w:val="auto"/>
          <w:sz w:val="24"/>
          <w:szCs w:val="24"/>
          <w:highlight w:val="none"/>
          <w:lang w:val="en-US" w:eastAsia="zh-CN"/>
        </w:rPr>
        <w:fldChar w:fldCharType="begin"/>
      </w:r>
      <w:r>
        <w:rPr>
          <w:rFonts w:hint="default"/>
          <w:color w:val="auto"/>
          <w:sz w:val="24"/>
          <w:szCs w:val="24"/>
          <w:highlight w:val="none"/>
          <w:lang w:val="en-US" w:eastAsia="zh-CN"/>
        </w:rPr>
        <w:instrText xml:space="preserve"> HYPERLINK "http://www.baidu.com/link?url=-RPy_T101V-EhU69i5lW76Hydwxun_jd4cm5_oymcAUhgxXOJ13Xnq130xaPb7m3HrGE19gFnMN94VU9BOTbs4YENMFRVKjUq1xLkLw68vwFjxsrkXBcZEZ0cigygGgVpLft6LJq7CSEeWqk_-pQa_" \t "https://www.baidu.com/_blank" </w:instrText>
      </w:r>
      <w:r>
        <w:rPr>
          <w:rFonts w:hint="default"/>
          <w:color w:val="auto"/>
          <w:sz w:val="24"/>
          <w:szCs w:val="24"/>
          <w:highlight w:val="none"/>
          <w:lang w:val="en-US" w:eastAsia="zh-CN"/>
        </w:rPr>
        <w:fldChar w:fldCharType="separate"/>
      </w:r>
      <w:r>
        <w:rPr>
          <w:rFonts w:hint="default"/>
          <w:color w:val="auto"/>
          <w:sz w:val="24"/>
          <w:szCs w:val="24"/>
          <w:highlight w:val="none"/>
          <w:lang w:val="en-US" w:eastAsia="zh-CN"/>
        </w:rPr>
        <w:t>低压成套开关设备和控制设备</w:t>
      </w:r>
      <w:r>
        <w:rPr>
          <w:rFonts w:hint="default"/>
          <w:color w:val="auto"/>
          <w:sz w:val="24"/>
          <w:szCs w:val="24"/>
          <w:highlight w:val="none"/>
          <w:lang w:val="en-US" w:eastAsia="zh-CN"/>
        </w:rPr>
        <w:fldChar w:fldCharType="end"/>
      </w:r>
    </w:p>
    <w:p>
      <w:pPr>
        <w:widowControl/>
        <w:snapToGrid w:val="0"/>
        <w:spacing w:line="360" w:lineRule="auto"/>
        <w:ind w:firstLine="480" w:firstLineChars="200"/>
        <w:jc w:val="both"/>
        <w:textAlignment w:val="baseline"/>
        <w:rPr>
          <w:rFonts w:hint="default"/>
          <w:color w:val="auto"/>
          <w:sz w:val="24"/>
          <w:szCs w:val="24"/>
          <w:highlight w:val="none"/>
        </w:rPr>
      </w:pPr>
    </w:p>
    <w:p>
      <w:pPr>
        <w:widowControl/>
        <w:snapToGrid w:val="0"/>
        <w:spacing w:line="360" w:lineRule="auto"/>
        <w:ind w:firstLine="480" w:firstLineChars="200"/>
        <w:jc w:val="both"/>
        <w:textAlignment w:val="baseline"/>
        <w:rPr>
          <w:rFonts w:hint="eastAsia"/>
          <w:color w:val="auto"/>
          <w:sz w:val="24"/>
          <w:szCs w:val="24"/>
          <w:highlight w:val="none"/>
        </w:rPr>
      </w:pPr>
      <w:bookmarkStart w:id="28" w:name="_Toc257404123"/>
      <w:r>
        <w:rPr>
          <w:rFonts w:hint="eastAsia"/>
          <w:color w:val="auto"/>
          <w:sz w:val="24"/>
          <w:szCs w:val="24"/>
          <w:highlight w:val="none"/>
        </w:rPr>
        <w:t>3 使用环境条件</w:t>
      </w:r>
      <w:bookmarkEnd w:id="28"/>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 xml:space="preserve">海拔高度         </w:t>
      </w:r>
      <w:r>
        <w:rPr>
          <w:rFonts w:hint="eastAsia"/>
          <w:color w:val="auto"/>
          <w:sz w:val="24"/>
          <w:szCs w:val="24"/>
          <w:highlight w:val="none"/>
          <w:lang w:eastAsia="zh-CN"/>
        </w:rPr>
        <w:t>≤</w:t>
      </w:r>
      <w:r>
        <w:rPr>
          <w:rFonts w:hint="eastAsia"/>
          <w:color w:val="auto"/>
          <w:sz w:val="24"/>
          <w:szCs w:val="24"/>
          <w:highlight w:val="none"/>
        </w:rPr>
        <w:t>1000 m</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最高环境温度     + 40 ℃</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最低环境温度     －</w:t>
      </w:r>
      <w:r>
        <w:rPr>
          <w:rFonts w:hint="eastAsia"/>
          <w:color w:val="auto"/>
          <w:sz w:val="24"/>
          <w:szCs w:val="24"/>
          <w:highlight w:val="none"/>
          <w:lang w:val="en-US" w:eastAsia="zh-CN"/>
        </w:rPr>
        <w:t>10</w:t>
      </w:r>
      <w:r>
        <w:rPr>
          <w:rFonts w:hint="eastAsia"/>
          <w:color w:val="auto"/>
          <w:sz w:val="24"/>
          <w:szCs w:val="24"/>
          <w:highlight w:val="none"/>
        </w:rPr>
        <w:t xml:space="preserve"> ℃</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相对湿度</w:t>
      </w:r>
      <w:r>
        <w:rPr>
          <w:rFonts w:hint="eastAsia"/>
          <w:color w:val="auto"/>
          <w:sz w:val="24"/>
          <w:szCs w:val="24"/>
          <w:highlight w:val="none"/>
          <w:lang w:val="en-US" w:eastAsia="zh-CN"/>
        </w:rPr>
        <w:t xml:space="preserve">         </w:t>
      </w:r>
      <w:r>
        <w:rPr>
          <w:rFonts w:hint="eastAsia"/>
          <w:color w:val="auto"/>
          <w:sz w:val="24"/>
          <w:szCs w:val="24"/>
          <w:highlight w:val="none"/>
          <w:lang w:eastAsia="zh-CN"/>
        </w:rPr>
        <w:t>≤</w:t>
      </w:r>
      <w:r>
        <w:rPr>
          <w:rFonts w:hint="eastAsia"/>
          <w:color w:val="auto"/>
          <w:sz w:val="24"/>
          <w:szCs w:val="24"/>
          <w:highlight w:val="none"/>
        </w:rPr>
        <w:t>9</w:t>
      </w:r>
      <w:r>
        <w:rPr>
          <w:rFonts w:hint="eastAsia"/>
          <w:color w:val="auto"/>
          <w:sz w:val="24"/>
          <w:szCs w:val="24"/>
          <w:highlight w:val="none"/>
          <w:lang w:val="en-US" w:eastAsia="zh-CN"/>
        </w:rPr>
        <w:t>5</w:t>
      </w:r>
      <w:r>
        <w:rPr>
          <w:rFonts w:hint="eastAsia"/>
          <w:color w:val="auto"/>
          <w:sz w:val="24"/>
          <w:szCs w:val="24"/>
          <w:highlight w:val="none"/>
        </w:rPr>
        <w:t>%（+20℃时）</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最大日温差       25K</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耐地震能力</w:t>
      </w:r>
      <w:r>
        <w:rPr>
          <w:rFonts w:hint="eastAsia"/>
          <w:color w:val="auto"/>
          <w:sz w:val="24"/>
          <w:szCs w:val="24"/>
          <w:highlight w:val="none"/>
          <w:lang w:val="en-US" w:eastAsia="zh-CN"/>
        </w:rPr>
        <w:t xml:space="preserve">       </w:t>
      </w:r>
      <w:r>
        <w:rPr>
          <w:rFonts w:hint="eastAsia"/>
          <w:color w:val="auto"/>
          <w:sz w:val="24"/>
          <w:szCs w:val="24"/>
          <w:highlight w:val="none"/>
        </w:rPr>
        <w:t>地面水平加速度0.2g；垂直加速度0.1g同时作用</w:t>
      </w:r>
    </w:p>
    <w:p>
      <w:pPr>
        <w:widowControl/>
        <w:snapToGrid w:val="0"/>
        <w:spacing w:line="360" w:lineRule="auto"/>
        <w:ind w:firstLine="480" w:firstLineChars="200"/>
        <w:jc w:val="both"/>
        <w:textAlignment w:val="baseline"/>
        <w:rPr>
          <w:rFonts w:hint="eastAsia"/>
          <w:color w:val="auto"/>
          <w:sz w:val="24"/>
          <w:szCs w:val="24"/>
          <w:highlight w:val="none"/>
        </w:rPr>
      </w:pPr>
    </w:p>
    <w:p>
      <w:pPr>
        <w:widowControl/>
        <w:snapToGrid w:val="0"/>
        <w:spacing w:line="360" w:lineRule="auto"/>
        <w:ind w:firstLine="480" w:firstLineChars="200"/>
        <w:jc w:val="both"/>
        <w:textAlignment w:val="baseline"/>
        <w:rPr>
          <w:rFonts w:hint="eastAsia"/>
          <w:color w:val="auto"/>
          <w:sz w:val="24"/>
          <w:szCs w:val="24"/>
          <w:highlight w:val="none"/>
        </w:rPr>
      </w:pPr>
      <w:bookmarkStart w:id="29" w:name="_Toc176770547"/>
      <w:bookmarkStart w:id="30" w:name="_Toc257404124"/>
      <w:r>
        <w:rPr>
          <w:rFonts w:hint="eastAsia"/>
          <w:color w:val="auto"/>
          <w:sz w:val="24"/>
          <w:szCs w:val="24"/>
          <w:highlight w:val="none"/>
        </w:rPr>
        <w:t>4 技术参数及要求</w:t>
      </w:r>
      <w:bookmarkEnd w:id="29"/>
      <w:bookmarkEnd w:id="30"/>
    </w:p>
    <w:p>
      <w:pPr>
        <w:widowControl/>
        <w:snapToGrid w:val="0"/>
        <w:spacing w:line="360" w:lineRule="auto"/>
        <w:ind w:firstLine="480" w:firstLineChars="200"/>
        <w:jc w:val="both"/>
        <w:textAlignment w:val="baseline"/>
        <w:rPr>
          <w:rFonts w:hint="eastAsia"/>
          <w:color w:val="auto"/>
          <w:sz w:val="24"/>
          <w:szCs w:val="24"/>
          <w:highlight w:val="none"/>
        </w:rPr>
      </w:pPr>
      <w:bookmarkStart w:id="31" w:name="_Toc257404126"/>
      <w:r>
        <w:rPr>
          <w:rFonts w:hint="eastAsia"/>
          <w:color w:val="auto"/>
          <w:sz w:val="24"/>
          <w:szCs w:val="24"/>
          <w:highlight w:val="none"/>
          <w:lang w:val="en-US" w:eastAsia="zh-CN"/>
        </w:rPr>
        <w:t>4.1</w:t>
      </w:r>
      <w:r>
        <w:rPr>
          <w:rFonts w:hint="eastAsia"/>
          <w:color w:val="auto"/>
          <w:sz w:val="24"/>
          <w:szCs w:val="24"/>
          <w:highlight w:val="none"/>
          <w:lang w:eastAsia="zh-CN"/>
        </w:rPr>
        <w:t>工作</w:t>
      </w:r>
      <w:r>
        <w:rPr>
          <w:rFonts w:hint="eastAsia"/>
          <w:color w:val="auto"/>
          <w:sz w:val="24"/>
          <w:szCs w:val="24"/>
          <w:highlight w:val="none"/>
        </w:rPr>
        <w:t>条件</w:t>
      </w:r>
      <w:bookmarkEnd w:id="31"/>
    </w:p>
    <w:p>
      <w:pPr>
        <w:widowControl/>
        <w:snapToGrid w:val="0"/>
        <w:spacing w:line="360" w:lineRule="auto"/>
        <w:ind w:firstLine="480" w:firstLineChars="200"/>
        <w:jc w:val="both"/>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 xml:space="preserve">额定电压       380V  </w:t>
      </w:r>
    </w:p>
    <w:p>
      <w:pPr>
        <w:widowControl/>
        <w:snapToGrid w:val="0"/>
        <w:spacing w:line="360" w:lineRule="auto"/>
        <w:ind w:firstLine="480" w:firstLineChars="200"/>
        <w:jc w:val="both"/>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额定绝缘电压   660V</w:t>
      </w:r>
    </w:p>
    <w:p>
      <w:pPr>
        <w:widowControl/>
        <w:snapToGrid w:val="0"/>
        <w:spacing w:line="360" w:lineRule="auto"/>
        <w:ind w:firstLine="480" w:firstLineChars="200"/>
        <w:jc w:val="both"/>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额定频率       50Hz</w:t>
      </w:r>
    </w:p>
    <w:p>
      <w:pPr>
        <w:widowControl/>
        <w:snapToGrid w:val="0"/>
        <w:spacing w:line="360" w:lineRule="auto"/>
        <w:ind w:firstLine="480" w:firstLineChars="200"/>
        <w:jc w:val="both"/>
        <w:textAlignment w:val="baseline"/>
        <w:rPr>
          <w:rFonts w:hint="eastAsia"/>
          <w:color w:val="auto"/>
          <w:sz w:val="24"/>
          <w:szCs w:val="24"/>
          <w:highlight w:val="none"/>
        </w:rPr>
      </w:pPr>
      <w:bookmarkStart w:id="32" w:name="_Toc257404129"/>
      <w:r>
        <w:rPr>
          <w:rFonts w:hint="eastAsia"/>
          <w:color w:val="auto"/>
          <w:sz w:val="24"/>
          <w:szCs w:val="24"/>
          <w:highlight w:val="none"/>
        </w:rPr>
        <w:t>4.</w:t>
      </w:r>
      <w:r>
        <w:rPr>
          <w:rFonts w:hint="eastAsia"/>
          <w:color w:val="auto"/>
          <w:sz w:val="24"/>
          <w:szCs w:val="24"/>
          <w:highlight w:val="none"/>
          <w:lang w:val="en-US" w:eastAsia="zh-CN"/>
        </w:rPr>
        <w:t>2</w:t>
      </w:r>
      <w:r>
        <w:rPr>
          <w:rFonts w:hint="eastAsia"/>
          <w:color w:val="auto"/>
          <w:sz w:val="24"/>
          <w:szCs w:val="24"/>
          <w:highlight w:val="none"/>
        </w:rPr>
        <w:t xml:space="preserve"> 一般技术要求</w:t>
      </w:r>
      <w:bookmarkEnd w:id="32"/>
    </w:p>
    <w:p>
      <w:pPr>
        <w:widowControl/>
        <w:snapToGrid w:val="0"/>
        <w:spacing w:line="360" w:lineRule="auto"/>
        <w:ind w:firstLine="480" w:firstLineChars="200"/>
        <w:jc w:val="both"/>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 xml:space="preserve">4.2.1 </w:t>
      </w:r>
      <w:r>
        <w:rPr>
          <w:rFonts w:hint="eastAsia"/>
          <w:color w:val="auto"/>
          <w:sz w:val="24"/>
          <w:szCs w:val="24"/>
          <w:highlight w:val="none"/>
          <w:lang w:eastAsia="zh-CN"/>
        </w:rPr>
        <w:t>外壳材质</w:t>
      </w:r>
      <w:r>
        <w:rPr>
          <w:rFonts w:hint="eastAsia"/>
          <w:color w:val="auto"/>
          <w:sz w:val="24"/>
          <w:szCs w:val="24"/>
          <w:highlight w:val="none"/>
          <w:lang w:val="en-US" w:eastAsia="zh-CN"/>
        </w:rPr>
        <w:t xml:space="preserve">  </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母线槽系统外壳及侧板采用优质铝镁合金材料，表面要做防氧化处理，外壳保护电路连续性电阻≤0.007Ω</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ascii="宋体" w:hAnsi="宋体" w:eastAsia="宋体" w:cs="宋体"/>
          <w:color w:val="auto"/>
          <w:sz w:val="24"/>
          <w:szCs w:val="24"/>
          <w:highlight w:val="none"/>
        </w:rPr>
        <w:t>★</w:t>
      </w:r>
      <w:r>
        <w:rPr>
          <w:rFonts w:hint="eastAsia"/>
          <w:color w:val="auto"/>
          <w:sz w:val="24"/>
          <w:szCs w:val="24"/>
          <w:highlight w:val="none"/>
          <w:lang w:val="en-US" w:eastAsia="zh-CN"/>
        </w:rPr>
        <w:t xml:space="preserve">4.2.2 </w:t>
      </w:r>
      <w:r>
        <w:rPr>
          <w:rFonts w:hint="eastAsia"/>
          <w:color w:val="auto"/>
          <w:sz w:val="24"/>
          <w:szCs w:val="24"/>
          <w:highlight w:val="none"/>
        </w:rPr>
        <w:t>外壳防腐蚀</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密集母线槽外壳防护等级不低于IP40。</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母线外壳表面应作环氧树脂静电粉末喷涂处理，颜色均匀一致，不得有气泡、裂纹或浪痕等缺陷。外壳相互连接部件间采用铆钉连接，外壳应保证电连续性，外壳上所用全部紧固件应有良好的防腐镀层。</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lang w:val="en-US" w:eastAsia="zh-CN"/>
        </w:rPr>
        <w:t xml:space="preserve">4.2.3 </w:t>
      </w:r>
      <w:r>
        <w:rPr>
          <w:rFonts w:hint="eastAsia"/>
          <w:color w:val="auto"/>
          <w:sz w:val="24"/>
          <w:szCs w:val="24"/>
          <w:highlight w:val="none"/>
        </w:rPr>
        <w:t>导体材料</w:t>
      </w:r>
    </w:p>
    <w:p>
      <w:pPr>
        <w:widowControl/>
        <w:snapToGrid w:val="0"/>
        <w:spacing w:line="360" w:lineRule="auto"/>
        <w:ind w:firstLine="480" w:firstLineChars="200"/>
        <w:jc w:val="both"/>
        <w:textAlignment w:val="baseline"/>
        <w:rPr>
          <w:rFonts w:hint="eastAsia"/>
          <w:color w:val="auto"/>
          <w:sz w:val="24"/>
          <w:szCs w:val="24"/>
          <w:highlight w:val="none"/>
          <w:lang w:eastAsia="zh-CN"/>
        </w:rPr>
      </w:pPr>
      <w:r>
        <w:rPr>
          <w:rFonts w:hint="eastAsia"/>
          <w:color w:val="auto"/>
          <w:sz w:val="24"/>
          <w:szCs w:val="24"/>
          <w:highlight w:val="none"/>
        </w:rPr>
        <w:t>母线槽内导体及搭接导体采用 T2 电解铜作为导体材料，轧制成 TMY 电工硬铜排，且铜的纯度达到 99.9%以上，导电率 97%以上，电阻率≤0.017777Ω·mm2 /m</w:t>
      </w:r>
      <w:r>
        <w:rPr>
          <w:rFonts w:hint="eastAsia"/>
          <w:color w:val="auto"/>
          <w:sz w:val="24"/>
          <w:szCs w:val="24"/>
          <w:highlight w:val="none"/>
          <w:lang w:eastAsia="zh-CN"/>
        </w:rPr>
        <w:t>；</w:t>
      </w:r>
    </w:p>
    <w:p>
      <w:pPr>
        <w:widowControl/>
        <w:snapToGrid w:val="0"/>
        <w:spacing w:line="360" w:lineRule="auto"/>
        <w:ind w:firstLine="480" w:firstLineChars="200"/>
        <w:jc w:val="both"/>
        <w:textAlignment w:val="baseline"/>
        <w:rPr>
          <w:rFonts w:hint="eastAsia"/>
          <w:color w:val="auto"/>
          <w:sz w:val="24"/>
          <w:szCs w:val="24"/>
          <w:highlight w:val="none"/>
          <w:lang w:eastAsia="zh-CN"/>
        </w:rPr>
      </w:pPr>
      <w:r>
        <w:rPr>
          <w:rFonts w:hint="eastAsia" w:ascii="宋体" w:hAnsi="宋体" w:eastAsia="宋体" w:cs="宋体"/>
          <w:color w:val="auto"/>
          <w:sz w:val="24"/>
          <w:szCs w:val="24"/>
          <w:highlight w:val="none"/>
        </w:rPr>
        <w:t>★</w:t>
      </w:r>
      <w:r>
        <w:rPr>
          <w:rFonts w:hint="eastAsia"/>
          <w:color w:val="auto"/>
          <w:sz w:val="24"/>
          <w:szCs w:val="24"/>
          <w:highlight w:val="none"/>
        </w:rPr>
        <w:t>铜排表面应全长镀锡</w:t>
      </w:r>
      <w:r>
        <w:rPr>
          <w:rFonts w:hint="eastAsia"/>
          <w:color w:val="auto"/>
          <w:sz w:val="24"/>
          <w:szCs w:val="24"/>
          <w:highlight w:val="none"/>
          <w:lang w:eastAsia="zh-CN"/>
        </w:rPr>
        <w:t>；</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投标时应提供铜导体纯度检测报告；</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ascii="宋体" w:hAnsi="宋体" w:eastAsia="宋体" w:cs="宋体"/>
          <w:color w:val="auto"/>
          <w:sz w:val="24"/>
          <w:szCs w:val="24"/>
          <w:highlight w:val="none"/>
        </w:rPr>
        <w:t>★</w:t>
      </w:r>
      <w:r>
        <w:rPr>
          <w:rFonts w:hint="eastAsia"/>
          <w:color w:val="auto"/>
          <w:sz w:val="24"/>
          <w:szCs w:val="24"/>
          <w:highlight w:val="none"/>
        </w:rPr>
        <w:t>PE线要求不小于50％相线容量</w:t>
      </w:r>
      <w:r>
        <w:rPr>
          <w:rFonts w:hint="eastAsia"/>
          <w:color w:val="auto"/>
          <w:sz w:val="24"/>
          <w:szCs w:val="24"/>
          <w:highlight w:val="none"/>
          <w:lang w:eastAsia="zh-CN"/>
        </w:rPr>
        <w:t>；</w:t>
      </w:r>
      <w:r>
        <w:rPr>
          <w:rFonts w:hint="eastAsia"/>
          <w:color w:val="auto"/>
          <w:sz w:val="24"/>
          <w:szCs w:val="24"/>
          <w:highlight w:val="none"/>
        </w:rPr>
        <w:t>母线直身段导体全长应保持完整，不得有中间冲孔、末端截面收缩等不良设计；除了在连接处外所有母线均须采用E级绝缘。</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lang w:val="en-US" w:eastAsia="zh-CN"/>
        </w:rPr>
        <w:t>4.2.4</w:t>
      </w:r>
      <w:r>
        <w:rPr>
          <w:rFonts w:hint="eastAsia"/>
          <w:color w:val="auto"/>
          <w:sz w:val="24"/>
          <w:szCs w:val="24"/>
          <w:highlight w:val="none"/>
        </w:rPr>
        <w:t>绝缘材料</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所有绝缘材料采用优质聚脂薄膜，全长成型包扎，包扎层数不小于 3 层，中间无接口无空气泡，绝缘耐压≥3.75KV/1min，耐热等级为 B 级（≥130℃）</w:t>
      </w:r>
      <w:r>
        <w:rPr>
          <w:rFonts w:hint="eastAsia"/>
          <w:color w:val="auto"/>
          <w:sz w:val="24"/>
          <w:szCs w:val="24"/>
          <w:highlight w:val="none"/>
          <w:lang w:eastAsia="zh-CN"/>
        </w:rPr>
        <w:t>；</w:t>
      </w:r>
      <w:r>
        <w:rPr>
          <w:rFonts w:hint="eastAsia"/>
          <w:color w:val="auto"/>
          <w:sz w:val="24"/>
          <w:szCs w:val="24"/>
          <w:highlight w:val="none"/>
        </w:rPr>
        <w:t>应提供绝缘材料的第三方检测报告；</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ascii="宋体" w:hAnsi="宋体" w:eastAsia="宋体" w:cs="宋体"/>
          <w:color w:val="auto"/>
          <w:sz w:val="24"/>
          <w:szCs w:val="24"/>
          <w:highlight w:val="none"/>
        </w:rPr>
        <w:t>★</w:t>
      </w:r>
      <w:r>
        <w:rPr>
          <w:rFonts w:hint="eastAsia"/>
          <w:color w:val="auto"/>
          <w:sz w:val="24"/>
          <w:szCs w:val="24"/>
          <w:highlight w:val="none"/>
          <w:lang w:val="en-US" w:eastAsia="zh-CN"/>
        </w:rPr>
        <w:t>4.2.5.</w:t>
      </w:r>
      <w:r>
        <w:rPr>
          <w:rFonts w:hint="eastAsia"/>
          <w:color w:val="auto"/>
          <w:sz w:val="24"/>
          <w:szCs w:val="24"/>
          <w:highlight w:val="none"/>
        </w:rPr>
        <w:t>极限温升</w:t>
      </w:r>
    </w:p>
    <w:p>
      <w:pPr>
        <w:widowControl/>
        <w:snapToGrid w:val="0"/>
        <w:spacing w:line="360" w:lineRule="auto"/>
        <w:ind w:firstLine="480" w:firstLineChars="200"/>
        <w:jc w:val="both"/>
        <w:textAlignment w:val="baseline"/>
        <w:rPr>
          <w:rFonts w:hint="eastAsia"/>
          <w:color w:val="auto"/>
          <w:sz w:val="24"/>
          <w:szCs w:val="24"/>
          <w:highlight w:val="none"/>
          <w:lang w:eastAsia="zh-CN"/>
        </w:rPr>
      </w:pPr>
      <w:r>
        <w:rPr>
          <w:rFonts w:hint="eastAsia"/>
          <w:color w:val="auto"/>
          <w:sz w:val="24"/>
          <w:szCs w:val="24"/>
          <w:highlight w:val="none"/>
        </w:rPr>
        <w:t>母线槽本体内导体、插接口，及连接头≤70K，外壳≤55K</w:t>
      </w:r>
      <w:r>
        <w:rPr>
          <w:rFonts w:hint="eastAsia"/>
          <w:color w:val="auto"/>
          <w:sz w:val="24"/>
          <w:szCs w:val="24"/>
          <w:highlight w:val="none"/>
          <w:lang w:eastAsia="zh-CN"/>
        </w:rPr>
        <w:t>；</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ascii="宋体" w:hAnsi="宋体" w:eastAsia="宋体" w:cs="宋体"/>
          <w:color w:val="auto"/>
          <w:sz w:val="24"/>
          <w:szCs w:val="24"/>
          <w:highlight w:val="none"/>
        </w:rPr>
        <w:t>★</w:t>
      </w:r>
      <w:r>
        <w:rPr>
          <w:rFonts w:hint="eastAsia"/>
          <w:color w:val="auto"/>
          <w:sz w:val="24"/>
          <w:szCs w:val="24"/>
          <w:highlight w:val="none"/>
          <w:lang w:val="en-US" w:eastAsia="zh-CN"/>
        </w:rPr>
        <w:t>4.2.6.</w:t>
      </w:r>
      <w:r>
        <w:rPr>
          <w:rFonts w:hint="eastAsia"/>
          <w:color w:val="auto"/>
          <w:sz w:val="24"/>
          <w:szCs w:val="24"/>
          <w:highlight w:val="none"/>
        </w:rPr>
        <w:t>母线槽及插接口处全长采用密集型，不允许本体密集型</w:t>
      </w:r>
      <w:r>
        <w:rPr>
          <w:rFonts w:hint="eastAsia"/>
          <w:color w:val="auto"/>
          <w:sz w:val="24"/>
          <w:szCs w:val="24"/>
          <w:highlight w:val="none"/>
          <w:lang w:eastAsia="zh-CN"/>
        </w:rPr>
        <w:t>、</w:t>
      </w:r>
      <w:r>
        <w:rPr>
          <w:rFonts w:hint="eastAsia"/>
          <w:color w:val="auto"/>
          <w:sz w:val="24"/>
          <w:szCs w:val="24"/>
          <w:highlight w:val="none"/>
        </w:rPr>
        <w:t>插接口空气型，以防插接口温升过高。</w:t>
      </w:r>
    </w:p>
    <w:p>
      <w:pPr>
        <w:widowControl/>
        <w:snapToGrid w:val="0"/>
        <w:spacing w:line="360" w:lineRule="auto"/>
        <w:ind w:firstLine="480" w:firstLineChars="200"/>
        <w:jc w:val="both"/>
        <w:textAlignment w:val="baseline"/>
        <w:rPr>
          <w:rFonts w:hint="eastAsia"/>
          <w:color w:val="auto"/>
          <w:sz w:val="24"/>
          <w:szCs w:val="24"/>
          <w:highlight w:val="none"/>
          <w:lang w:eastAsia="zh-CN"/>
        </w:rPr>
      </w:pPr>
      <w:r>
        <w:rPr>
          <w:rFonts w:hint="eastAsia" w:ascii="宋体" w:hAnsi="宋体" w:eastAsia="宋体" w:cs="宋体"/>
          <w:color w:val="auto"/>
          <w:sz w:val="24"/>
          <w:szCs w:val="24"/>
          <w:highlight w:val="none"/>
        </w:rPr>
        <w:t>★</w:t>
      </w:r>
      <w:r>
        <w:rPr>
          <w:rFonts w:hint="eastAsia"/>
          <w:color w:val="auto"/>
          <w:sz w:val="24"/>
          <w:szCs w:val="24"/>
          <w:highlight w:val="none"/>
          <w:lang w:val="en-US" w:eastAsia="zh-CN"/>
        </w:rPr>
        <w:t>4.2.7.</w:t>
      </w:r>
      <w:r>
        <w:rPr>
          <w:rFonts w:hint="eastAsia"/>
          <w:color w:val="auto"/>
          <w:sz w:val="24"/>
          <w:szCs w:val="24"/>
          <w:highlight w:val="none"/>
        </w:rPr>
        <w:t>母线槽单元要求为独立可移动式，连接应灵活可靠，保证具有尽量小的接触电阻，并具有相应的力矩控制措施</w:t>
      </w:r>
      <w:r>
        <w:rPr>
          <w:rFonts w:hint="eastAsia"/>
          <w:color w:val="auto"/>
          <w:sz w:val="24"/>
          <w:szCs w:val="24"/>
          <w:highlight w:val="none"/>
          <w:lang w:eastAsia="zh-CN"/>
        </w:rPr>
        <w:t>，</w:t>
      </w:r>
      <w:r>
        <w:rPr>
          <w:rFonts w:hint="eastAsia"/>
          <w:color w:val="auto"/>
          <w:sz w:val="24"/>
          <w:szCs w:val="24"/>
          <w:highlight w:val="none"/>
        </w:rPr>
        <w:t>应</w:t>
      </w:r>
      <w:r>
        <w:rPr>
          <w:rFonts w:hint="eastAsia"/>
          <w:color w:val="auto"/>
          <w:sz w:val="24"/>
          <w:szCs w:val="24"/>
          <w:highlight w:val="none"/>
          <w:lang w:eastAsia="zh-CN"/>
        </w:rPr>
        <w:t>可</w:t>
      </w:r>
      <w:r>
        <w:rPr>
          <w:rFonts w:hint="eastAsia"/>
          <w:color w:val="auto"/>
          <w:sz w:val="24"/>
          <w:szCs w:val="24"/>
          <w:highlight w:val="none"/>
        </w:rPr>
        <w:t>使用单臂螺栓锁紧（及只需一人用器械连接单元的一边操作即可锁紧）</w:t>
      </w:r>
      <w:r>
        <w:rPr>
          <w:rFonts w:hint="eastAsia"/>
          <w:color w:val="auto"/>
          <w:sz w:val="24"/>
          <w:szCs w:val="24"/>
          <w:highlight w:val="none"/>
          <w:lang w:eastAsia="zh-CN"/>
        </w:rPr>
        <w:t>，</w:t>
      </w:r>
      <w:r>
        <w:rPr>
          <w:rFonts w:hint="eastAsia"/>
          <w:color w:val="auto"/>
          <w:sz w:val="24"/>
          <w:szCs w:val="24"/>
          <w:highlight w:val="none"/>
        </w:rPr>
        <w:t>满足快速连接的要求。母线槽连接单元应可快速整体拆卸和装配。连接头应采用双面搭接技术，连接头处导体总截面积应适当增大，以增强该部位的载流能力</w:t>
      </w:r>
      <w:r>
        <w:rPr>
          <w:rFonts w:hint="eastAsia"/>
          <w:color w:val="auto"/>
          <w:sz w:val="24"/>
          <w:szCs w:val="24"/>
          <w:highlight w:val="none"/>
          <w:lang w:eastAsia="zh-CN"/>
        </w:rPr>
        <w:t>。</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lang w:val="en-US" w:eastAsia="zh-CN"/>
        </w:rPr>
        <w:t>4.2.8.</w:t>
      </w:r>
      <w:r>
        <w:rPr>
          <w:rFonts w:hint="eastAsia"/>
          <w:color w:val="auto"/>
          <w:sz w:val="24"/>
          <w:szCs w:val="24"/>
          <w:highlight w:val="none"/>
        </w:rPr>
        <w:t>母线槽应具有优良的封闭性能，能够耐受较恶劣的环境污染，在产品寿命期内，母线槽内部应当保持清洁，无灰尘等积聚物。</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lang w:val="en-US" w:eastAsia="zh-CN"/>
        </w:rPr>
        <w:t>4.2.9.</w:t>
      </w:r>
      <w:r>
        <w:rPr>
          <w:rFonts w:hint="eastAsia"/>
          <w:color w:val="auto"/>
          <w:sz w:val="24"/>
          <w:szCs w:val="24"/>
          <w:highlight w:val="none"/>
        </w:rPr>
        <w:t>为了防止假冒伪劣产品，供货的产品必须是正品的合格产品，每节母线槽及插接箱上要求贴有国家认监委 3C 防伪标志，便于网上查询防伪码，便于来货检验真假产品，不贴防伪标志一律拒收。</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lang w:val="en-US" w:eastAsia="zh-CN"/>
        </w:rPr>
        <w:t>4.2.10.</w:t>
      </w:r>
      <w:r>
        <w:rPr>
          <w:rFonts w:hint="eastAsia"/>
          <w:color w:val="auto"/>
          <w:sz w:val="24"/>
          <w:szCs w:val="24"/>
          <w:highlight w:val="none"/>
        </w:rPr>
        <w:t>母线接地系统</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地线宜采用可靠的整体式接地方式，地线整体包裹带电部分的铜排；</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地线可采用相同电气级别铜材或铝合金等有效的导电的材料；</w:t>
      </w:r>
      <w:bookmarkStart w:id="33" w:name="_Toc176770548"/>
      <w:bookmarkStart w:id="34" w:name="_Toc257404131"/>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5 试验标准及要求</w:t>
      </w:r>
      <w:bookmarkEnd w:id="33"/>
      <w:bookmarkEnd w:id="34"/>
    </w:p>
    <w:p>
      <w:pPr>
        <w:widowControl/>
        <w:snapToGrid w:val="0"/>
        <w:spacing w:line="360" w:lineRule="auto"/>
        <w:ind w:firstLine="480" w:firstLineChars="200"/>
        <w:jc w:val="both"/>
        <w:textAlignment w:val="baseline"/>
        <w:rPr>
          <w:rFonts w:hint="eastAsia"/>
          <w:color w:val="auto"/>
          <w:sz w:val="24"/>
          <w:szCs w:val="24"/>
          <w:highlight w:val="none"/>
        </w:rPr>
      </w:pPr>
      <w:bookmarkStart w:id="35" w:name="_Toc257404132"/>
      <w:r>
        <w:rPr>
          <w:rFonts w:hint="eastAsia"/>
          <w:color w:val="auto"/>
          <w:sz w:val="24"/>
          <w:szCs w:val="24"/>
          <w:highlight w:val="none"/>
        </w:rPr>
        <w:t xml:space="preserve">5.1 </w:t>
      </w:r>
      <w:bookmarkEnd w:id="35"/>
      <w:r>
        <w:rPr>
          <w:rFonts w:hint="eastAsia"/>
          <w:color w:val="auto"/>
          <w:sz w:val="24"/>
          <w:szCs w:val="24"/>
          <w:highlight w:val="none"/>
        </w:rPr>
        <w:t>型式试验</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型式试验项目包括以下内容：</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一般检查；机械负载试验； 温升试验；保护电路连续性试验；短路强度试验；验证电阻、电抗和阻抗；验证绝缘电阻；介电强度试验；验证电气间隙和爬电距离；验证母线槽与分线箱插接的机械操作；验证外壳防护等级。</w:t>
      </w:r>
    </w:p>
    <w:p>
      <w:pPr>
        <w:widowControl/>
        <w:snapToGrid w:val="0"/>
        <w:spacing w:line="360" w:lineRule="auto"/>
        <w:ind w:firstLine="480" w:firstLineChars="200"/>
        <w:jc w:val="both"/>
        <w:textAlignment w:val="baseline"/>
        <w:rPr>
          <w:rFonts w:hint="eastAsia"/>
          <w:color w:val="auto"/>
          <w:sz w:val="24"/>
          <w:szCs w:val="24"/>
          <w:highlight w:val="none"/>
        </w:rPr>
      </w:pPr>
      <w:bookmarkStart w:id="36" w:name="_Toc257404133"/>
      <w:r>
        <w:rPr>
          <w:rFonts w:hint="eastAsia"/>
          <w:color w:val="auto"/>
          <w:sz w:val="24"/>
          <w:szCs w:val="24"/>
          <w:highlight w:val="none"/>
        </w:rPr>
        <w:t>5.2 出厂试验</w:t>
      </w:r>
      <w:bookmarkEnd w:id="36"/>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一般检查；保护电路连续性的检查；验证绝缘电阻；介电强度试验；验证电气间隙和爬电距离。</w:t>
      </w:r>
    </w:p>
    <w:p>
      <w:pPr>
        <w:widowControl/>
        <w:snapToGrid w:val="0"/>
        <w:spacing w:line="360" w:lineRule="auto"/>
        <w:ind w:firstLine="480" w:firstLineChars="200"/>
        <w:jc w:val="both"/>
        <w:textAlignment w:val="baseline"/>
        <w:rPr>
          <w:rFonts w:hint="eastAsia"/>
          <w:color w:val="auto"/>
          <w:sz w:val="24"/>
          <w:szCs w:val="24"/>
          <w:highlight w:val="none"/>
        </w:rPr>
      </w:pPr>
      <w:bookmarkStart w:id="37" w:name="_Toc257404134"/>
      <w:r>
        <w:rPr>
          <w:rFonts w:hint="eastAsia"/>
          <w:color w:val="auto"/>
          <w:sz w:val="24"/>
          <w:szCs w:val="24"/>
          <w:highlight w:val="none"/>
        </w:rPr>
        <w:t>5.3 现场试验</w:t>
      </w:r>
      <w:bookmarkEnd w:id="37"/>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一般检查；保护电路连续性的检查；验证绝缘电阻；验证电气间隙和爬电距离。</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lang w:val="en-US" w:eastAsia="zh-CN"/>
        </w:rPr>
        <w:t>5.4.5</w:t>
      </w:r>
      <w:r>
        <w:rPr>
          <w:rFonts w:hint="eastAsia"/>
          <w:color w:val="auto"/>
          <w:sz w:val="24"/>
          <w:szCs w:val="24"/>
          <w:highlight w:val="none"/>
        </w:rPr>
        <w:t>其他重要的检测报告或技术证书：</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产品样本及安装使用说明书；母线槽的其他电气、机械性能检测报告；</w:t>
      </w:r>
    </w:p>
    <w:p>
      <w:pPr>
        <w:widowControl/>
        <w:snapToGrid w:val="0"/>
        <w:spacing w:line="360" w:lineRule="auto"/>
        <w:ind w:firstLine="480" w:firstLineChars="200"/>
        <w:jc w:val="both"/>
        <w:textAlignment w:val="baseline"/>
        <w:rPr>
          <w:rFonts w:hint="eastAsia"/>
          <w:color w:val="auto"/>
          <w:sz w:val="24"/>
          <w:szCs w:val="24"/>
          <w:highlight w:val="none"/>
        </w:rPr>
      </w:pPr>
      <w:bookmarkStart w:id="38" w:name="_Toc176746641"/>
      <w:bookmarkStart w:id="39" w:name="_Toc174799390"/>
      <w:bookmarkStart w:id="40" w:name="_Toc174804022"/>
      <w:bookmarkStart w:id="41" w:name="_Toc174802739"/>
      <w:bookmarkStart w:id="42" w:name="_Toc174802431"/>
      <w:bookmarkStart w:id="43" w:name="_Toc257404135"/>
      <w:r>
        <w:rPr>
          <w:rFonts w:hint="eastAsia"/>
          <w:color w:val="auto"/>
          <w:sz w:val="24"/>
          <w:szCs w:val="24"/>
          <w:highlight w:val="none"/>
        </w:rPr>
        <w:t>6 包装及运输</w:t>
      </w:r>
      <w:bookmarkEnd w:id="38"/>
      <w:bookmarkEnd w:id="39"/>
      <w:bookmarkEnd w:id="40"/>
      <w:bookmarkEnd w:id="41"/>
      <w:bookmarkEnd w:id="42"/>
      <w:bookmarkEnd w:id="43"/>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6.1金属封闭母线出厂时，供方应随带提供下列文件：</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产品合格证；出厂试验报告；安装图纸；安装、运行、维护说明书；装箱清单。</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6.2铭牌</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母线槽的每个单元都应有铭牌，铭牌应装贴在易见之处。</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应在铭牌上给出</w:t>
      </w:r>
      <w:r>
        <w:rPr>
          <w:rFonts w:hint="eastAsia"/>
          <w:color w:val="auto"/>
          <w:sz w:val="24"/>
          <w:szCs w:val="24"/>
          <w:highlight w:val="none"/>
          <w:lang w:eastAsia="zh-CN"/>
        </w:rPr>
        <w:t>：</w:t>
      </w:r>
      <w:r>
        <w:rPr>
          <w:rFonts w:hint="eastAsia"/>
          <w:color w:val="auto"/>
          <w:sz w:val="24"/>
          <w:szCs w:val="24"/>
          <w:highlight w:val="none"/>
        </w:rPr>
        <w:t>制造厂名称或商标；产品型号及名称；制造年月；出厂编号；额定工作电流；额定工作电压；电流类型（以及在交流情况下的频率）；标准编号；</w:t>
      </w:r>
    </w:p>
    <w:p>
      <w:pPr>
        <w:widowControl/>
        <w:snapToGrid w:val="0"/>
        <w:spacing w:line="360" w:lineRule="auto"/>
        <w:ind w:firstLine="480" w:firstLineChars="200"/>
        <w:jc w:val="both"/>
        <w:textAlignment w:val="baseline"/>
        <w:rPr>
          <w:rFonts w:hint="eastAsia"/>
          <w:color w:val="auto"/>
          <w:sz w:val="24"/>
          <w:szCs w:val="24"/>
          <w:highlight w:val="none"/>
          <w:lang w:eastAsia="zh-CN"/>
        </w:rPr>
      </w:pPr>
      <w:r>
        <w:rPr>
          <w:rFonts w:hint="eastAsia"/>
          <w:color w:val="auto"/>
          <w:sz w:val="24"/>
          <w:szCs w:val="24"/>
          <w:highlight w:val="none"/>
        </w:rPr>
        <w:t>可在铭牌或在有关文件资料中给出</w:t>
      </w:r>
      <w:r>
        <w:rPr>
          <w:rFonts w:hint="eastAsia"/>
          <w:color w:val="auto"/>
          <w:sz w:val="24"/>
          <w:szCs w:val="24"/>
          <w:highlight w:val="none"/>
          <w:lang w:eastAsia="zh-CN"/>
        </w:rPr>
        <w:t>：</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额定绝缘电压；使用条件；防护等级；防止触电的措施；工作范围；接地类型及接地装置；外形尺寸及安装尺寸；电阻、电抗和阻抗；质量；短路强度。</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6.3 标志</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母线槽接地处应设置明显的接地标志；</w:t>
      </w:r>
      <w:r>
        <w:rPr>
          <w:rFonts w:hint="eastAsia"/>
          <w:color w:val="auto"/>
          <w:sz w:val="24"/>
          <w:szCs w:val="24"/>
          <w:highlight w:val="none"/>
          <w:lang w:eastAsia="zh-CN"/>
        </w:rPr>
        <w:t>可</w:t>
      </w:r>
      <w:r>
        <w:rPr>
          <w:rFonts w:hint="eastAsia"/>
          <w:color w:val="auto"/>
          <w:sz w:val="24"/>
          <w:szCs w:val="24"/>
          <w:highlight w:val="none"/>
        </w:rPr>
        <w:t>在母线槽单元端头处设置明显的母线相序标志；如有必要，在母线槽单元的首尾（或进、出端）应标出明显的标志；在需要安装支架位置处可设符号标志。</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6.9装箱时应附下列文件资料；</w:t>
      </w:r>
    </w:p>
    <w:p>
      <w:pPr>
        <w:widowControl/>
        <w:snapToGrid w:val="0"/>
        <w:spacing w:line="360" w:lineRule="auto"/>
        <w:ind w:firstLine="480" w:firstLineChars="200"/>
        <w:jc w:val="both"/>
        <w:textAlignment w:val="baseline"/>
        <w:rPr>
          <w:rFonts w:hint="eastAsia"/>
          <w:color w:val="auto"/>
          <w:sz w:val="24"/>
          <w:szCs w:val="24"/>
          <w:highlight w:val="none"/>
        </w:rPr>
      </w:pPr>
      <w:r>
        <w:rPr>
          <w:rFonts w:hint="eastAsia"/>
          <w:color w:val="auto"/>
          <w:sz w:val="24"/>
          <w:szCs w:val="24"/>
          <w:highlight w:val="none"/>
        </w:rPr>
        <w:t>装箱文件资料清单;使用说明书；装箱清单；产品合格证明书（合格证）。</w:t>
      </w:r>
    </w:p>
    <w:p>
      <w:pPr>
        <w:widowControl/>
        <w:snapToGrid w:val="0"/>
        <w:spacing w:line="360" w:lineRule="auto"/>
        <w:ind w:firstLine="482" w:firstLineChars="200"/>
        <w:jc w:val="both"/>
        <w:textAlignment w:val="baseline"/>
        <w:rPr>
          <w:rFonts w:hint="default" w:eastAsia="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w:t>
      </w:r>
      <w:r>
        <w:rPr>
          <w:rFonts w:hint="eastAsia"/>
          <w:b/>
          <w:bCs/>
          <w:color w:val="auto"/>
          <w:sz w:val="24"/>
          <w:szCs w:val="24"/>
          <w:highlight w:val="none"/>
          <w:lang w:val="en-US" w:eastAsia="zh-CN"/>
        </w:rPr>
        <w:t>6.10投标人须针对本项目密集母线的原材料为原生铜而非回收铜进行承诺。</w:t>
      </w:r>
    </w:p>
    <w:p>
      <w:pPr>
        <w:pStyle w:val="3"/>
        <w:numPr>
          <w:ilvl w:val="0"/>
          <w:numId w:val="0"/>
        </w:numPr>
        <w:snapToGrid w:val="0"/>
        <w:spacing w:line="460" w:lineRule="exact"/>
        <w:jc w:val="both"/>
        <w:textAlignment w:val="baseline"/>
        <w:rPr>
          <w:rFonts w:hint="eastAsia"/>
          <w:color w:val="auto"/>
          <w:highlight w:val="none"/>
          <w:lang w:val="en-US" w:eastAsia="zh-CN"/>
        </w:rPr>
      </w:pPr>
      <w:r>
        <w:rPr>
          <w:rFonts w:hint="eastAsia"/>
          <w:color w:val="auto"/>
          <w:highlight w:val="none"/>
          <w:lang w:val="en-US" w:eastAsia="zh-CN"/>
        </w:rPr>
        <w:t>二、项目清单</w:t>
      </w:r>
    </w:p>
    <w:tbl>
      <w:tblPr>
        <w:tblStyle w:val="26"/>
        <w:tblW w:w="950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87"/>
        <w:gridCol w:w="3491"/>
        <w:gridCol w:w="2385"/>
        <w:gridCol w:w="795"/>
        <w:gridCol w:w="915"/>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jc w:val="center"/>
        </w:trPr>
        <w:tc>
          <w:tcPr>
            <w:tcW w:w="887"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349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  称</w:t>
            </w:r>
          </w:p>
        </w:tc>
        <w:tc>
          <w:tcPr>
            <w:tcW w:w="238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   号</w:t>
            </w:r>
          </w:p>
        </w:tc>
        <w:tc>
          <w:tcPr>
            <w:tcW w:w="7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1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035"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封闭型母线槽</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CDCX-630A/4P</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封闭型母线槽</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CDCX-1000A/4P</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连接器</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630A/4P</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连接器</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1000A/4P</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电柜联络箱</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冷水机端联络箱</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发电机端联络箱</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电柜搭接排</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630A</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电柜搭接排</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1000A</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491"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冷水机端搭接排</w:t>
            </w:r>
          </w:p>
        </w:tc>
        <w:tc>
          <w:tcPr>
            <w:tcW w:w="2385" w:type="dxa"/>
            <w:tcBorders>
              <w:top w:val="single" w:color="000000" w:sz="4" w:space="0"/>
              <w:left w:val="doub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1000A</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5" w:type="dxa"/>
            <w:tcBorders>
              <w:top w:val="single" w:color="000000" w:sz="4" w:space="0"/>
              <w:left w:val="doub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887"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491" w:type="dxa"/>
            <w:tcBorders>
              <w:top w:val="single" w:color="000000" w:sz="4" w:space="0"/>
              <w:left w:val="doub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吊架</w:t>
            </w:r>
          </w:p>
        </w:tc>
        <w:tc>
          <w:tcPr>
            <w:tcW w:w="2385" w:type="dxa"/>
            <w:tcBorders>
              <w:top w:val="single" w:color="000000" w:sz="4" w:space="0"/>
              <w:left w:val="doub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1035" w:type="dxa"/>
            <w:tcBorders>
              <w:top w:val="single" w:color="000000" w:sz="4" w:space="0"/>
              <w:left w:val="double" w:color="000000"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widowControl/>
        <w:snapToGrid w:val="0"/>
        <w:spacing w:line="360" w:lineRule="auto"/>
        <w:ind w:firstLine="480" w:firstLineChars="200"/>
        <w:jc w:val="both"/>
        <w:textAlignment w:val="baseline"/>
        <w:rPr>
          <w:rFonts w:hint="eastAsia"/>
          <w:color w:val="auto"/>
          <w:sz w:val="24"/>
          <w:szCs w:val="24"/>
          <w:highlight w:val="none"/>
          <w:lang w:val="en-US" w:eastAsia="zh-CN"/>
        </w:rPr>
      </w:pPr>
    </w:p>
    <w:p>
      <w:pPr>
        <w:pStyle w:val="3"/>
        <w:numPr>
          <w:ilvl w:val="0"/>
          <w:numId w:val="0"/>
        </w:numPr>
        <w:snapToGrid w:val="0"/>
        <w:spacing w:line="460" w:lineRule="exact"/>
        <w:jc w:val="both"/>
        <w:textAlignment w:val="baseline"/>
        <w:rPr>
          <w:rFonts w:hint="eastAsia"/>
          <w:color w:val="auto"/>
          <w:highlight w:val="none"/>
          <w:lang w:val="en-US"/>
        </w:rPr>
      </w:pPr>
      <w:r>
        <w:rPr>
          <w:rFonts w:hint="eastAsia"/>
          <w:color w:val="auto"/>
          <w:highlight w:val="none"/>
          <w:lang w:val="en-US" w:eastAsia="zh-CN"/>
        </w:rPr>
        <w:t>三</w:t>
      </w:r>
      <w:r>
        <w:rPr>
          <w:rFonts w:hint="eastAsia"/>
          <w:color w:val="auto"/>
          <w:highlight w:val="none"/>
          <w:lang w:val="en-US"/>
        </w:rPr>
        <w:t>、售后服务条款</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1、中标人应向招标人提供产品的运行、安装、使用环境要求。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2、在到达招标人指定地点后，中标人应在三个工作日内派技术人员到达现场，在招标人技术人员在场的情况下开箱清点货物，组织安装。 </w:t>
      </w:r>
    </w:p>
    <w:p>
      <w:pPr>
        <w:widowControl/>
        <w:snapToGrid w:val="0"/>
        <w:spacing w:line="360" w:lineRule="auto"/>
        <w:ind w:firstLine="480" w:firstLineChars="200"/>
        <w:jc w:val="both"/>
        <w:textAlignment w:val="baseline"/>
        <w:rPr>
          <w:bCs/>
          <w:color w:val="auto"/>
          <w:sz w:val="24"/>
          <w:szCs w:val="24"/>
          <w:highlight w:val="none"/>
        </w:rPr>
      </w:pPr>
      <w:r>
        <w:rPr>
          <w:rFonts w:hint="eastAsia"/>
          <w:color w:val="auto"/>
          <w:sz w:val="24"/>
          <w:szCs w:val="24"/>
          <w:highlight w:val="none"/>
          <w:lang w:val="en-US"/>
        </w:rPr>
        <w:t>3、</w:t>
      </w:r>
      <w:r>
        <w:rPr>
          <w:rFonts w:hint="eastAsia"/>
          <w:color w:val="auto"/>
          <w:sz w:val="24"/>
          <w:szCs w:val="24"/>
          <w:highlight w:val="none"/>
        </w:rPr>
        <w:t>在招标人验收过程中，若招标人发现中标人未按投标文件内容提供设备，技术要求不符合招标文件，招标人要求返工，以及验收过程中如若发现破损，中标人应在5日内更换新产品，相应的费用及责任由中标人自行负担</w:t>
      </w:r>
      <w:r>
        <w:rPr>
          <w:rFonts w:hint="eastAsia"/>
          <w:color w:val="auto"/>
          <w:sz w:val="24"/>
          <w:szCs w:val="24"/>
          <w:highlight w:val="none"/>
          <w:lang w:val="en-US"/>
        </w:rPr>
        <w:t>。</w:t>
      </w:r>
      <w:r>
        <w:rPr>
          <w:rFonts w:hint="eastAsia"/>
          <w:bCs/>
          <w:color w:val="auto"/>
          <w:sz w:val="24"/>
          <w:szCs w:val="24"/>
          <w:highlight w:val="none"/>
        </w:rPr>
        <w:t>中标人货物经过双方检验认可后，签署验收报告，由中标人提供货物质保及免费保修文件。</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4、投标人自行踏勘，根据现场自行报价，包含甲方要求指定地方存放的所有费用。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5、安装后，招标人按国家标准及厂方标准进行质量验收。中标人应向招标人提供详细的验收标准，验收手册。招标人有权委托当地有资质的单位对上述设备进行调试、校准，因此发生的费用由中标方承担。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6、售后服务：负责安装、调试，维修响应时间小于48小时。质保期内，如果产品有因质量问题而引起的损坏,中标人应对产品予以维修或更换，全部服务费和更换产品或配件的费用均由中标人承担。</w:t>
      </w:r>
    </w:p>
    <w:p>
      <w:pPr>
        <w:pStyle w:val="16"/>
        <w:textAlignment w:val="baseline"/>
        <w:rPr>
          <w:color w:val="auto"/>
          <w:sz w:val="24"/>
          <w:szCs w:val="24"/>
          <w:highlight w:val="none"/>
          <w:lang w:val="en-US"/>
        </w:rPr>
        <w:sectPr>
          <w:pgSz w:w="11900" w:h="16840"/>
          <w:pgMar w:top="1321" w:right="1179" w:bottom="1219" w:left="1219" w:header="879" w:footer="1020" w:gutter="0"/>
          <w:cols w:space="0" w:num="1"/>
          <w:rtlGutter w:val="0"/>
          <w:docGrid w:linePitch="0" w:charSpace="0"/>
        </w:sectPr>
      </w:pPr>
    </w:p>
    <w:p>
      <w:pPr>
        <w:pStyle w:val="2"/>
        <w:tabs>
          <w:tab w:val="left" w:pos="1286"/>
        </w:tabs>
        <w:snapToGrid w:val="0"/>
        <w:spacing w:before="21" w:line="720" w:lineRule="auto"/>
        <w:textAlignment w:val="baseline"/>
        <w:rPr>
          <w:rFonts w:ascii="黑体" w:hAnsi="黑体" w:eastAsia="黑体" w:cs="黑体"/>
          <w:color w:val="auto"/>
          <w:highlight w:val="none"/>
        </w:rPr>
      </w:pPr>
      <w:bookmarkStart w:id="44" w:name="_Toc14943"/>
      <w:r>
        <w:rPr>
          <w:rFonts w:hint="eastAsia" w:ascii="黑体" w:hAnsi="黑体" w:eastAsia="黑体" w:cs="黑体"/>
          <w:color w:val="auto"/>
          <w:highlight w:val="none"/>
        </w:rPr>
        <w:t>第六章 投标文件格式</w:t>
      </w:r>
      <w:bookmarkEnd w:id="44"/>
    </w:p>
    <w:p>
      <w:pPr>
        <w:snapToGrid w:val="0"/>
        <w:spacing w:before="10" w:line="319" w:lineRule="auto"/>
        <w:ind w:left="3287" w:right="332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一、价格标部分格式1、投 标 函</w:t>
      </w:r>
    </w:p>
    <w:p>
      <w:pPr>
        <w:pStyle w:val="10"/>
        <w:snapToGrid w:val="0"/>
        <w:spacing w:line="460" w:lineRule="exact"/>
        <w:ind w:firstLine="422" w:firstLineChars="200"/>
        <w:jc w:val="both"/>
        <w:textAlignment w:val="baseline"/>
        <w:rPr>
          <w:rFonts w:ascii="微软雅黑"/>
          <w:b/>
          <w:color w:val="auto"/>
          <w:highlight w:val="none"/>
        </w:rPr>
      </w:pPr>
    </w:p>
    <w:p>
      <w:pPr>
        <w:tabs>
          <w:tab w:val="left" w:pos="2259"/>
          <w:tab w:val="left" w:pos="465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r>
        <w:rPr>
          <w:color w:val="auto"/>
          <w:sz w:val="24"/>
          <w:szCs w:val="24"/>
          <w:highlight w:val="none"/>
        </w:rPr>
        <w:t>：</w:t>
      </w:r>
    </w:p>
    <w:p>
      <w:pPr>
        <w:tabs>
          <w:tab w:val="left" w:pos="7429"/>
        </w:tabs>
        <w:snapToGrid w:val="0"/>
        <w:spacing w:line="360" w:lineRule="auto"/>
        <w:ind w:firstLine="496" w:firstLineChars="200"/>
        <w:jc w:val="both"/>
        <w:textAlignment w:val="baseline"/>
        <w:rPr>
          <w:color w:val="auto"/>
          <w:sz w:val="24"/>
          <w:szCs w:val="24"/>
          <w:highlight w:val="none"/>
        </w:rPr>
      </w:pPr>
      <w:r>
        <w:rPr>
          <w:color w:val="auto"/>
          <w:spacing w:val="4"/>
          <w:sz w:val="24"/>
          <w:szCs w:val="24"/>
          <w:highlight w:val="none"/>
        </w:rPr>
        <w:t>一、根</w:t>
      </w:r>
      <w:r>
        <w:rPr>
          <w:color w:val="auto"/>
          <w:sz w:val="24"/>
          <w:szCs w:val="24"/>
          <w:highlight w:val="none"/>
        </w:rPr>
        <w:t>据</w:t>
      </w:r>
      <w:r>
        <w:rPr>
          <w:color w:val="auto"/>
          <w:spacing w:val="4"/>
          <w:sz w:val="24"/>
          <w:szCs w:val="24"/>
          <w:highlight w:val="none"/>
        </w:rPr>
        <w:t>已收</w:t>
      </w:r>
      <w:r>
        <w:rPr>
          <w:color w:val="auto"/>
          <w:sz w:val="24"/>
          <w:szCs w:val="24"/>
          <w:highlight w:val="none"/>
        </w:rPr>
        <w:t>到</w:t>
      </w:r>
      <w:r>
        <w:rPr>
          <w:color w:val="auto"/>
          <w:spacing w:val="4"/>
          <w:sz w:val="24"/>
          <w:szCs w:val="24"/>
          <w:highlight w:val="none"/>
        </w:rPr>
        <w:t>的</w:t>
      </w:r>
      <w:r>
        <w:rPr>
          <w:color w:val="auto"/>
          <w:spacing w:val="4"/>
          <w:sz w:val="24"/>
          <w:szCs w:val="24"/>
          <w:highlight w:val="none"/>
          <w:u w:val="single"/>
        </w:rPr>
        <w:tab/>
      </w:r>
      <w:r>
        <w:rPr>
          <w:color w:val="auto"/>
          <w:sz w:val="24"/>
          <w:szCs w:val="24"/>
          <w:highlight w:val="none"/>
        </w:rPr>
        <w:t>项</w:t>
      </w:r>
      <w:r>
        <w:rPr>
          <w:color w:val="auto"/>
          <w:spacing w:val="4"/>
          <w:sz w:val="24"/>
          <w:szCs w:val="24"/>
          <w:highlight w:val="none"/>
        </w:rPr>
        <w:t>目</w:t>
      </w:r>
      <w:r>
        <w:rPr>
          <w:color w:val="auto"/>
          <w:sz w:val="24"/>
          <w:szCs w:val="24"/>
          <w:highlight w:val="none"/>
        </w:rPr>
        <w:t>的</w:t>
      </w:r>
      <w:r>
        <w:rPr>
          <w:color w:val="auto"/>
          <w:spacing w:val="4"/>
          <w:sz w:val="24"/>
          <w:szCs w:val="24"/>
          <w:highlight w:val="none"/>
        </w:rPr>
        <w:t>招标</w:t>
      </w:r>
      <w:r>
        <w:rPr>
          <w:color w:val="auto"/>
          <w:sz w:val="24"/>
          <w:szCs w:val="24"/>
          <w:highlight w:val="none"/>
        </w:rPr>
        <w:t>文</w:t>
      </w:r>
      <w:r>
        <w:rPr>
          <w:color w:val="auto"/>
          <w:spacing w:val="-9"/>
          <w:sz w:val="24"/>
          <w:szCs w:val="24"/>
          <w:highlight w:val="none"/>
        </w:rPr>
        <w:t>件，我方已经详细地阅读了全部招标文件及其附件，包括澄清及参考文件。我方</w:t>
      </w:r>
      <w:r>
        <w:rPr>
          <w:color w:val="auto"/>
          <w:spacing w:val="-14"/>
          <w:sz w:val="24"/>
          <w:szCs w:val="24"/>
          <w:highlight w:val="none"/>
        </w:rPr>
        <w:t>已完全清晰理解招标文件的要求，不存在任何含糊不清和误解之处，同意并接受</w:t>
      </w:r>
      <w:r>
        <w:rPr>
          <w:color w:val="auto"/>
          <w:spacing w:val="-20"/>
          <w:sz w:val="24"/>
          <w:szCs w:val="24"/>
          <w:highlight w:val="none"/>
        </w:rPr>
        <w:t>招标文件的各项要求，遵守招标文件中的各项规定，按招标文件的要求提供报价。</w:t>
      </w:r>
      <w:r>
        <w:rPr>
          <w:color w:val="auto"/>
          <w:sz w:val="24"/>
          <w:szCs w:val="24"/>
          <w:highlight w:val="none"/>
        </w:rPr>
        <w:t>我方愿以人民币元（￥</w:t>
      </w:r>
      <w:r>
        <w:rPr>
          <w:color w:val="auto"/>
          <w:sz w:val="24"/>
          <w:szCs w:val="24"/>
          <w:highlight w:val="none"/>
          <w:u w:val="single"/>
        </w:rPr>
        <w:tab/>
      </w:r>
      <w:r>
        <w:rPr>
          <w:color w:val="auto"/>
          <w:sz w:val="24"/>
          <w:szCs w:val="24"/>
          <w:highlight w:val="none"/>
        </w:rPr>
        <w:t>元）的投标报价，并按招标文件的要求承包上述项目的供货</w:t>
      </w:r>
      <w:r>
        <w:rPr>
          <w:rFonts w:hint="eastAsia"/>
          <w:color w:val="auto"/>
          <w:sz w:val="24"/>
          <w:szCs w:val="24"/>
          <w:highlight w:val="none"/>
        </w:rPr>
        <w:t>及施工</w:t>
      </w:r>
      <w:r>
        <w:rPr>
          <w:color w:val="auto"/>
          <w:sz w:val="24"/>
          <w:szCs w:val="24"/>
          <w:highlight w:val="none"/>
        </w:rPr>
        <w:t>。</w:t>
      </w:r>
    </w:p>
    <w:p>
      <w:pPr>
        <w:tabs>
          <w:tab w:val="left" w:pos="357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二、我方保证在</w:t>
      </w:r>
      <w:r>
        <w:rPr>
          <w:color w:val="auto"/>
          <w:sz w:val="24"/>
          <w:szCs w:val="24"/>
          <w:highlight w:val="none"/>
          <w:u w:val="single"/>
        </w:rPr>
        <w:tab/>
      </w:r>
      <w:r>
        <w:rPr>
          <w:color w:val="auto"/>
          <w:sz w:val="24"/>
          <w:szCs w:val="24"/>
          <w:highlight w:val="none"/>
        </w:rPr>
        <w:t>天内依法完成全部供货</w:t>
      </w:r>
      <w:r>
        <w:rPr>
          <w:rFonts w:hint="eastAsia"/>
          <w:color w:val="auto"/>
          <w:sz w:val="24"/>
          <w:szCs w:val="24"/>
          <w:highlight w:val="none"/>
        </w:rPr>
        <w:t>及施工</w:t>
      </w:r>
      <w:r>
        <w:rPr>
          <w:color w:val="auto"/>
          <w:sz w:val="24"/>
          <w:szCs w:val="24"/>
          <w:highlight w:val="none"/>
        </w:rPr>
        <w:t>。</w:t>
      </w:r>
    </w:p>
    <w:p>
      <w:pPr>
        <w:tabs>
          <w:tab w:val="left" w:pos="5859"/>
        </w:tabs>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rPr>
        <w:t>三、我方保证质量达到</w:t>
      </w:r>
      <w:r>
        <w:rPr>
          <w:rFonts w:hint="eastAsia"/>
          <w:color w:val="auto"/>
          <w:sz w:val="24"/>
          <w:szCs w:val="24"/>
          <w:highlight w:val="none"/>
          <w:u w:val="single"/>
        </w:rPr>
        <w:tab/>
      </w:r>
      <w:r>
        <w:rPr>
          <w:rFonts w:hint="eastAsia"/>
          <w:color w:val="auto"/>
          <w:sz w:val="24"/>
          <w:szCs w:val="24"/>
          <w:highlight w:val="none"/>
        </w:rPr>
        <w:t>。</w:t>
      </w:r>
    </w:p>
    <w:p>
      <w:pPr>
        <w:numPr>
          <w:ilvl w:val="0"/>
          <w:numId w:val="20"/>
        </w:numPr>
        <w:tabs>
          <w:tab w:val="left" w:pos="5514"/>
          <w:tab w:val="left" w:pos="7441"/>
        </w:tabs>
        <w:snapToGrid w:val="0"/>
        <w:spacing w:line="360" w:lineRule="auto"/>
        <w:ind w:firstLine="480" w:firstLineChars="200"/>
        <w:jc w:val="both"/>
        <w:textAlignment w:val="baseline"/>
        <w:rPr>
          <w:color w:val="auto"/>
          <w:spacing w:val="-13"/>
          <w:sz w:val="24"/>
          <w:szCs w:val="24"/>
          <w:highlight w:val="none"/>
        </w:rPr>
      </w:pPr>
      <w:r>
        <w:rPr>
          <w:rFonts w:hint="eastAsia"/>
          <w:color w:val="auto"/>
          <w:sz w:val="24"/>
          <w:szCs w:val="24"/>
          <w:highlight w:val="none"/>
        </w:rPr>
        <w:t>你方的招标文件、中标通知书和本投标文件构成约束我们双方的合同</w:t>
      </w:r>
      <w:r>
        <w:rPr>
          <w:rFonts w:hint="eastAsia"/>
          <w:color w:val="auto"/>
          <w:spacing w:val="-13"/>
          <w:sz w:val="24"/>
          <w:szCs w:val="24"/>
          <w:highlight w:val="none"/>
        </w:rPr>
        <w:t>。</w:t>
      </w:r>
    </w:p>
    <w:p>
      <w:pPr>
        <w:snapToGrid w:val="0"/>
        <w:spacing w:line="360" w:lineRule="auto"/>
        <w:ind w:firstLine="444" w:firstLineChars="200"/>
        <w:jc w:val="both"/>
        <w:textAlignment w:val="baseline"/>
        <w:rPr>
          <w:color w:val="auto"/>
          <w:sz w:val="24"/>
          <w:szCs w:val="24"/>
          <w:highlight w:val="none"/>
        </w:rPr>
      </w:pPr>
      <w:r>
        <w:rPr>
          <w:rFonts w:hint="eastAsia"/>
          <w:color w:val="auto"/>
          <w:spacing w:val="-9"/>
          <w:sz w:val="24"/>
          <w:szCs w:val="24"/>
          <w:highlight w:val="none"/>
        </w:rPr>
        <w:t>五、我方承诺在本次投标中提供的一切文件，无论是原件还是复印件均为真</w:t>
      </w:r>
      <w:r>
        <w:rPr>
          <w:rFonts w:hint="eastAsia"/>
          <w:color w:val="auto"/>
          <w:spacing w:val="-8"/>
          <w:sz w:val="24"/>
          <w:szCs w:val="24"/>
          <w:highlight w:val="none"/>
        </w:rPr>
        <w:t>实和准确的，绝无任何虚假、伪造和夸大的成份，否则，愿承担相应的后果和法</w:t>
      </w:r>
      <w:r>
        <w:rPr>
          <w:rFonts w:hint="eastAsia"/>
          <w:color w:val="auto"/>
          <w:sz w:val="24"/>
          <w:szCs w:val="24"/>
          <w:highlight w:val="none"/>
        </w:rPr>
        <w:t>律责任。</w:t>
      </w:r>
    </w:p>
    <w:p>
      <w:pPr>
        <w:pStyle w:val="10"/>
        <w:snapToGrid w:val="0"/>
        <w:spacing w:line="360" w:lineRule="auto"/>
        <w:ind w:firstLine="480" w:firstLineChars="200"/>
        <w:jc w:val="both"/>
        <w:textAlignment w:val="baseline"/>
        <w:rPr>
          <w:color w:val="auto"/>
          <w:sz w:val="24"/>
          <w:szCs w:val="24"/>
          <w:highlight w:val="none"/>
        </w:rPr>
      </w:pPr>
    </w:p>
    <w:p>
      <w:pPr>
        <w:pStyle w:val="10"/>
        <w:snapToGrid w:val="0"/>
        <w:spacing w:line="360" w:lineRule="auto"/>
        <w:ind w:firstLine="480" w:firstLineChars="200"/>
        <w:jc w:val="both"/>
        <w:textAlignment w:val="baseline"/>
        <w:rPr>
          <w:color w:val="auto"/>
          <w:sz w:val="24"/>
          <w:szCs w:val="24"/>
          <w:highlight w:val="none"/>
        </w:rPr>
      </w:pPr>
    </w:p>
    <w:p>
      <w:pPr>
        <w:snapToGrid w:val="0"/>
        <w:spacing w:line="360" w:lineRule="auto"/>
        <w:ind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line="360" w:lineRule="auto"/>
        <w:ind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法定代表人或委托代理人（亲笔签名或盖章）：</w:t>
      </w:r>
    </w:p>
    <w:p>
      <w:pPr>
        <w:pStyle w:val="10"/>
        <w:snapToGrid w:val="0"/>
        <w:spacing w:line="360" w:lineRule="auto"/>
        <w:textAlignment w:val="baseline"/>
        <w:rPr>
          <w:color w:val="auto"/>
          <w:sz w:val="24"/>
          <w:szCs w:val="24"/>
          <w:highlight w:val="none"/>
        </w:rPr>
      </w:pPr>
    </w:p>
    <w:p>
      <w:pPr>
        <w:pStyle w:val="10"/>
        <w:snapToGrid w:val="0"/>
        <w:spacing w:line="360" w:lineRule="auto"/>
        <w:textAlignment w:val="baseline"/>
        <w:rPr>
          <w:color w:val="auto"/>
          <w:sz w:val="24"/>
          <w:szCs w:val="24"/>
          <w:highlight w:val="none"/>
        </w:rPr>
      </w:pPr>
    </w:p>
    <w:p>
      <w:pPr>
        <w:snapToGrid w:val="0"/>
        <w:spacing w:line="542" w:lineRule="exact"/>
        <w:ind w:right="34"/>
        <w:jc w:val="center"/>
        <w:textAlignment w:val="baseline"/>
        <w:rPr>
          <w:color w:val="auto"/>
          <w:w w:val="95"/>
          <w:sz w:val="24"/>
          <w:szCs w:val="24"/>
          <w:highlight w:val="none"/>
        </w:rPr>
      </w:pPr>
      <w:r>
        <w:rPr>
          <w:rFonts w:hint="eastAsia"/>
          <w:color w:val="auto"/>
          <w:sz w:val="24"/>
          <w:szCs w:val="24"/>
          <w:highlight w:val="none"/>
          <w:lang w:val="en-US"/>
        </w:rPr>
        <w:t xml:space="preserve">                                                      </w:t>
      </w:r>
      <w:r>
        <w:rPr>
          <w:rFonts w:hint="eastAsia"/>
          <w:color w:val="auto"/>
          <w:sz w:val="24"/>
          <w:szCs w:val="24"/>
          <w:highlight w:val="none"/>
        </w:rPr>
        <w:t>年</w:t>
      </w:r>
      <w:r>
        <w:rPr>
          <w:rFonts w:hint="eastAsia"/>
          <w:color w:val="auto"/>
          <w:sz w:val="24"/>
          <w:szCs w:val="24"/>
          <w:highlight w:val="none"/>
        </w:rPr>
        <w:tab/>
      </w:r>
      <w:r>
        <w:rPr>
          <w:rFonts w:hint="eastAsia"/>
          <w:color w:val="auto"/>
          <w:sz w:val="24"/>
          <w:szCs w:val="24"/>
          <w:highlight w:val="none"/>
          <w:lang w:val="en-US"/>
        </w:rPr>
        <w:t xml:space="preserve">  </w:t>
      </w:r>
      <w:r>
        <w:rPr>
          <w:rFonts w:hint="eastAsia"/>
          <w:color w:val="auto"/>
          <w:sz w:val="24"/>
          <w:szCs w:val="24"/>
          <w:highlight w:val="none"/>
        </w:rPr>
        <w:t>月</w:t>
      </w:r>
      <w:r>
        <w:rPr>
          <w:rFonts w:hint="eastAsia"/>
          <w:color w:val="auto"/>
          <w:sz w:val="24"/>
          <w:szCs w:val="24"/>
          <w:highlight w:val="none"/>
        </w:rPr>
        <w:tab/>
      </w:r>
      <w:r>
        <w:rPr>
          <w:rFonts w:hint="eastAsia"/>
          <w:color w:val="auto"/>
          <w:sz w:val="24"/>
          <w:szCs w:val="24"/>
          <w:highlight w:val="none"/>
          <w:lang w:val="en-US"/>
        </w:rPr>
        <w:t xml:space="preserve">   </w:t>
      </w:r>
      <w:r>
        <w:rPr>
          <w:rFonts w:hint="eastAsia"/>
          <w:color w:val="auto"/>
          <w:w w:val="95"/>
          <w:sz w:val="24"/>
          <w:szCs w:val="24"/>
          <w:highlight w:val="none"/>
        </w:rPr>
        <w:t>日</w:t>
      </w:r>
    </w:p>
    <w:p>
      <w:pPr>
        <w:rPr>
          <w:color w:val="auto"/>
          <w:w w:val="95"/>
          <w:sz w:val="24"/>
          <w:szCs w:val="24"/>
          <w:highlight w:val="none"/>
          <w:lang w:val="en-US"/>
        </w:rPr>
      </w:pPr>
      <w:r>
        <w:rPr>
          <w:rFonts w:hint="eastAsia"/>
          <w:color w:val="auto"/>
          <w:w w:val="95"/>
          <w:sz w:val="24"/>
          <w:szCs w:val="24"/>
          <w:highlight w:val="none"/>
        </w:rPr>
        <w:br w:type="page"/>
      </w:r>
      <w:r>
        <w:rPr>
          <w:rFonts w:hint="eastAsia"/>
          <w:color w:val="auto"/>
          <w:w w:val="95"/>
          <w:sz w:val="24"/>
          <w:szCs w:val="24"/>
          <w:highlight w:val="none"/>
          <w:lang w:val="en-US"/>
        </w:rPr>
        <w:t xml:space="preserve">  </w:t>
      </w:r>
    </w:p>
    <w:p>
      <w:pPr>
        <w:snapToGrid w:val="0"/>
        <w:spacing w:line="542" w:lineRule="exact"/>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2</w:t>
      </w:r>
      <w:r>
        <w:rPr>
          <w:rFonts w:hint="eastAsia" w:ascii="微软雅黑" w:eastAsia="微软雅黑"/>
          <w:b/>
          <w:color w:val="auto"/>
          <w:sz w:val="32"/>
          <w:highlight w:val="none"/>
        </w:rPr>
        <w:t>、开标一览表</w:t>
      </w:r>
    </w:p>
    <w:p>
      <w:pPr>
        <w:pStyle w:val="10"/>
        <w:snapToGrid w:val="0"/>
        <w:spacing w:before="12"/>
        <w:textAlignment w:val="baseline"/>
        <w:rPr>
          <w:rFonts w:ascii="微软雅黑"/>
          <w:b/>
          <w:color w:val="auto"/>
          <w:sz w:val="22"/>
          <w:szCs w:val="13"/>
          <w:highlight w:val="none"/>
        </w:rPr>
      </w:pPr>
    </w:p>
    <w:p>
      <w:pPr>
        <w:tabs>
          <w:tab w:val="left" w:pos="5314"/>
        </w:tabs>
        <w:snapToGrid w:val="0"/>
        <w:spacing w:before="1"/>
        <w:textAlignment w:val="baseline"/>
        <w:rPr>
          <w:rFonts w:ascii="Times New Roman"/>
          <w:color w:val="auto"/>
          <w:sz w:val="24"/>
          <w:szCs w:val="24"/>
          <w:highlight w:val="none"/>
        </w:rPr>
      </w:pPr>
      <w:r>
        <w:rPr>
          <w:color w:val="auto"/>
          <w:w w:val="95"/>
          <w:sz w:val="24"/>
          <w:szCs w:val="24"/>
          <w:highlight w:val="none"/>
        </w:rPr>
        <w:t>项目名称：</w:t>
      </w:r>
      <w:r>
        <w:rPr>
          <w:rFonts w:ascii="Times New Roman" w:eastAsia="Times New Roman"/>
          <w:color w:val="auto"/>
          <w:sz w:val="24"/>
          <w:szCs w:val="24"/>
          <w:highlight w:val="none"/>
          <w:u w:val="single"/>
        </w:rPr>
        <w:tab/>
      </w:r>
    </w:p>
    <w:tbl>
      <w:tblPr>
        <w:tblStyle w:val="2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56"/>
        <w:gridCol w:w="1960"/>
        <w:gridCol w:w="2020"/>
        <w:gridCol w:w="1755"/>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856" w:type="dxa"/>
          </w:tcPr>
          <w:p>
            <w:pPr>
              <w:pStyle w:val="43"/>
              <w:snapToGrid w:val="0"/>
              <w:spacing w:before="8"/>
              <w:textAlignment w:val="baseline"/>
              <w:rPr>
                <w:rFonts w:ascii="Times New Roman"/>
                <w:color w:val="auto"/>
                <w:sz w:val="24"/>
                <w:szCs w:val="24"/>
                <w:highlight w:val="none"/>
              </w:rPr>
            </w:pPr>
          </w:p>
          <w:p>
            <w:pPr>
              <w:pStyle w:val="43"/>
              <w:snapToGrid w:val="0"/>
              <w:jc w:val="center"/>
              <w:textAlignment w:val="baseline"/>
              <w:rPr>
                <w:color w:val="auto"/>
                <w:sz w:val="24"/>
                <w:szCs w:val="24"/>
                <w:highlight w:val="none"/>
              </w:rPr>
            </w:pPr>
            <w:r>
              <w:rPr>
                <w:color w:val="auto"/>
                <w:sz w:val="24"/>
                <w:szCs w:val="24"/>
                <w:highlight w:val="none"/>
              </w:rPr>
              <w:t>投标报价（元）</w:t>
            </w:r>
          </w:p>
        </w:tc>
        <w:tc>
          <w:tcPr>
            <w:tcW w:w="1960" w:type="dxa"/>
          </w:tcPr>
          <w:p>
            <w:pPr>
              <w:pStyle w:val="43"/>
              <w:snapToGrid w:val="0"/>
              <w:spacing w:before="8"/>
              <w:textAlignment w:val="baseline"/>
              <w:rPr>
                <w:rFonts w:ascii="Times New Roman"/>
                <w:color w:val="auto"/>
                <w:sz w:val="24"/>
                <w:szCs w:val="24"/>
                <w:highlight w:val="none"/>
              </w:rPr>
            </w:pPr>
          </w:p>
          <w:p>
            <w:pPr>
              <w:pStyle w:val="43"/>
              <w:snapToGrid w:val="0"/>
              <w:jc w:val="center"/>
              <w:textAlignment w:val="baseline"/>
              <w:rPr>
                <w:color w:val="auto"/>
                <w:sz w:val="24"/>
                <w:szCs w:val="24"/>
                <w:highlight w:val="none"/>
              </w:rPr>
            </w:pPr>
            <w:r>
              <w:rPr>
                <w:color w:val="auto"/>
                <w:sz w:val="24"/>
                <w:szCs w:val="24"/>
                <w:highlight w:val="none"/>
              </w:rPr>
              <w:t>工期（日历天）</w:t>
            </w:r>
          </w:p>
        </w:tc>
        <w:tc>
          <w:tcPr>
            <w:tcW w:w="2020" w:type="dxa"/>
          </w:tcPr>
          <w:p>
            <w:pPr>
              <w:pStyle w:val="43"/>
              <w:snapToGrid w:val="0"/>
              <w:spacing w:before="8"/>
              <w:textAlignment w:val="baseline"/>
              <w:rPr>
                <w:rFonts w:ascii="Times New Roman"/>
                <w:color w:val="auto"/>
                <w:sz w:val="24"/>
                <w:szCs w:val="24"/>
                <w:highlight w:val="none"/>
              </w:rPr>
            </w:pPr>
          </w:p>
          <w:p>
            <w:pPr>
              <w:pStyle w:val="43"/>
              <w:snapToGrid w:val="0"/>
              <w:ind w:left="439"/>
              <w:textAlignment w:val="baseline"/>
              <w:rPr>
                <w:color w:val="auto"/>
                <w:sz w:val="24"/>
                <w:szCs w:val="24"/>
                <w:highlight w:val="none"/>
              </w:rPr>
            </w:pPr>
            <w:r>
              <w:rPr>
                <w:rFonts w:hint="eastAsia"/>
                <w:color w:val="auto"/>
                <w:sz w:val="24"/>
                <w:szCs w:val="24"/>
                <w:highlight w:val="none"/>
              </w:rPr>
              <w:t>质保期</w:t>
            </w:r>
          </w:p>
          <w:p>
            <w:pPr>
              <w:pStyle w:val="43"/>
              <w:snapToGrid w:val="0"/>
              <w:ind w:left="439"/>
              <w:textAlignment w:val="baseline"/>
              <w:rPr>
                <w:color w:val="auto"/>
                <w:sz w:val="24"/>
                <w:szCs w:val="24"/>
                <w:highlight w:val="none"/>
              </w:rPr>
            </w:pPr>
          </w:p>
        </w:tc>
        <w:tc>
          <w:tcPr>
            <w:tcW w:w="1755" w:type="dxa"/>
            <w:vAlign w:val="center"/>
          </w:tcPr>
          <w:p>
            <w:pPr>
              <w:pStyle w:val="43"/>
              <w:snapToGrid w:val="0"/>
              <w:ind w:right="510"/>
              <w:jc w:val="right"/>
              <w:textAlignment w:val="baseline"/>
              <w:rPr>
                <w:color w:val="auto"/>
                <w:sz w:val="24"/>
                <w:szCs w:val="24"/>
                <w:highlight w:val="none"/>
              </w:rPr>
            </w:pPr>
            <w:r>
              <w:rPr>
                <w:rFonts w:hint="eastAsia"/>
                <w:color w:val="auto"/>
                <w:sz w:val="24"/>
                <w:szCs w:val="24"/>
                <w:highlight w:val="none"/>
              </w:rPr>
              <w:t>质量标准</w:t>
            </w:r>
          </w:p>
        </w:tc>
        <w:tc>
          <w:tcPr>
            <w:tcW w:w="1828" w:type="dxa"/>
          </w:tcPr>
          <w:p>
            <w:pPr>
              <w:pStyle w:val="43"/>
              <w:snapToGrid w:val="0"/>
              <w:spacing w:before="8"/>
              <w:textAlignment w:val="baseline"/>
              <w:rPr>
                <w:rFonts w:ascii="Times New Roman"/>
                <w:color w:val="auto"/>
                <w:sz w:val="24"/>
                <w:szCs w:val="24"/>
                <w:highlight w:val="none"/>
              </w:rPr>
            </w:pPr>
          </w:p>
          <w:p>
            <w:pPr>
              <w:pStyle w:val="43"/>
              <w:snapToGrid w:val="0"/>
              <w:ind w:left="519" w:right="510"/>
              <w:jc w:val="center"/>
              <w:textAlignment w:val="baseline"/>
              <w:rPr>
                <w:color w:val="auto"/>
                <w:sz w:val="24"/>
                <w:szCs w:val="24"/>
                <w:highlight w:val="none"/>
              </w:rPr>
            </w:pPr>
            <w:r>
              <w:rPr>
                <w:color w:val="auto"/>
                <w:sz w:val="24"/>
                <w:szCs w:val="24"/>
                <w:highlight w:val="none"/>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4" w:hRule="atLeast"/>
          <w:jc w:val="center"/>
        </w:trPr>
        <w:tc>
          <w:tcPr>
            <w:tcW w:w="1856" w:type="dxa"/>
          </w:tcPr>
          <w:p>
            <w:pPr>
              <w:pStyle w:val="43"/>
              <w:snapToGrid w:val="0"/>
              <w:textAlignment w:val="baseline"/>
              <w:rPr>
                <w:rFonts w:ascii="Times New Roman"/>
                <w:color w:val="auto"/>
                <w:sz w:val="24"/>
                <w:szCs w:val="24"/>
                <w:highlight w:val="none"/>
              </w:rPr>
            </w:pPr>
          </w:p>
        </w:tc>
        <w:tc>
          <w:tcPr>
            <w:tcW w:w="1960" w:type="dxa"/>
          </w:tcPr>
          <w:p>
            <w:pPr>
              <w:pStyle w:val="43"/>
              <w:snapToGrid w:val="0"/>
              <w:textAlignment w:val="baseline"/>
              <w:rPr>
                <w:rFonts w:ascii="Times New Roman"/>
                <w:color w:val="auto"/>
                <w:sz w:val="24"/>
                <w:szCs w:val="24"/>
                <w:highlight w:val="none"/>
              </w:rPr>
            </w:pPr>
          </w:p>
        </w:tc>
        <w:tc>
          <w:tcPr>
            <w:tcW w:w="2020" w:type="dxa"/>
          </w:tcPr>
          <w:p>
            <w:pPr>
              <w:pStyle w:val="43"/>
              <w:snapToGrid w:val="0"/>
              <w:textAlignment w:val="baseline"/>
              <w:rPr>
                <w:rFonts w:ascii="Times New Roman"/>
                <w:color w:val="auto"/>
                <w:sz w:val="24"/>
                <w:szCs w:val="24"/>
                <w:highlight w:val="none"/>
              </w:rPr>
            </w:pPr>
          </w:p>
        </w:tc>
        <w:tc>
          <w:tcPr>
            <w:tcW w:w="1755" w:type="dxa"/>
          </w:tcPr>
          <w:p>
            <w:pPr>
              <w:pStyle w:val="43"/>
              <w:snapToGrid w:val="0"/>
              <w:textAlignment w:val="baseline"/>
              <w:rPr>
                <w:rFonts w:ascii="Times New Roman"/>
                <w:color w:val="auto"/>
                <w:sz w:val="24"/>
                <w:szCs w:val="24"/>
                <w:highlight w:val="none"/>
              </w:rPr>
            </w:pPr>
          </w:p>
        </w:tc>
        <w:tc>
          <w:tcPr>
            <w:tcW w:w="1828" w:type="dxa"/>
          </w:tcPr>
          <w:p>
            <w:pPr>
              <w:pStyle w:val="43"/>
              <w:snapToGrid w:val="0"/>
              <w:textAlignment w:val="baseline"/>
              <w:rPr>
                <w:rFonts w:asci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1856" w:type="dxa"/>
          </w:tcPr>
          <w:p>
            <w:pPr>
              <w:pStyle w:val="43"/>
              <w:snapToGrid w:val="0"/>
              <w:spacing w:before="216"/>
              <w:ind w:left="107"/>
              <w:textAlignment w:val="baseline"/>
              <w:rPr>
                <w:color w:val="auto"/>
                <w:sz w:val="24"/>
                <w:szCs w:val="24"/>
                <w:highlight w:val="none"/>
              </w:rPr>
            </w:pPr>
            <w:r>
              <w:rPr>
                <w:color w:val="auto"/>
                <w:sz w:val="24"/>
                <w:szCs w:val="24"/>
                <w:highlight w:val="none"/>
              </w:rPr>
              <w:t>投标报价（人民币大写）</w:t>
            </w:r>
          </w:p>
        </w:tc>
        <w:tc>
          <w:tcPr>
            <w:tcW w:w="7563" w:type="dxa"/>
            <w:gridSpan w:val="4"/>
            <w:vAlign w:val="center"/>
          </w:tcPr>
          <w:p>
            <w:pPr>
              <w:pStyle w:val="43"/>
              <w:snapToGrid w:val="0"/>
              <w:jc w:val="center"/>
              <w:textAlignment w:val="baseline"/>
              <w:rPr>
                <w:rFonts w:ascii="Times New Roman"/>
                <w:color w:val="auto"/>
                <w:sz w:val="24"/>
                <w:szCs w:val="24"/>
                <w:highlight w:val="none"/>
              </w:rPr>
            </w:pPr>
            <w:r>
              <w:rPr>
                <w:color w:val="auto"/>
                <w:sz w:val="24"/>
                <w:szCs w:val="24"/>
                <w:highlight w:val="none"/>
              </w:rPr>
              <w:t>（元</w:t>
            </w:r>
            <w:r>
              <w:rPr>
                <w:rFonts w:hint="eastAsia"/>
                <w:color w:val="auto"/>
                <w:sz w:val="24"/>
                <w:szCs w:val="24"/>
                <w:highlight w:val="none"/>
              </w:rPr>
              <w:t>）</w:t>
            </w:r>
          </w:p>
        </w:tc>
      </w:tr>
    </w:tbl>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法定代表人或委托代理人（亲笔签名或盖章）：</w:t>
      </w:r>
    </w:p>
    <w:p>
      <w:pPr>
        <w:tabs>
          <w:tab w:val="left" w:pos="6099"/>
          <w:tab w:val="left" w:pos="6699"/>
        </w:tabs>
        <w:snapToGrid w:val="0"/>
        <w:spacing w:before="198"/>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spacing w:before="8"/>
        <w:textAlignment w:val="baseline"/>
        <w:rPr>
          <w:color w:val="auto"/>
          <w:highlight w:val="none"/>
        </w:rPr>
      </w:pPr>
    </w:p>
    <w:p>
      <w:pPr>
        <w:rPr>
          <w:color w:val="auto"/>
          <w:sz w:val="20"/>
          <w:szCs w:val="20"/>
          <w:highlight w:val="none"/>
        </w:rPr>
      </w:pPr>
      <w:r>
        <w:rPr>
          <w:color w:val="auto"/>
          <w:sz w:val="20"/>
          <w:szCs w:val="20"/>
          <w:highlight w:val="none"/>
        </w:rPr>
        <w:br w:type="page"/>
      </w:r>
    </w:p>
    <w:p>
      <w:pPr>
        <w:spacing w:line="515" w:lineRule="exact"/>
        <w:ind w:right="31"/>
        <w:jc w:val="center"/>
        <w:rPr>
          <w:rFonts w:ascii="微软雅黑" w:eastAsia="微软雅黑"/>
          <w:b/>
          <w:color w:val="auto"/>
          <w:sz w:val="32"/>
          <w:szCs w:val="32"/>
          <w:highlight w:val="none"/>
          <w:lang w:val="en-US"/>
        </w:rPr>
      </w:pPr>
      <w:r>
        <w:rPr>
          <w:rFonts w:hint="eastAsia" w:ascii="微软雅黑" w:eastAsia="微软雅黑"/>
          <w:b/>
          <w:color w:val="auto"/>
          <w:sz w:val="32"/>
          <w:szCs w:val="32"/>
          <w:highlight w:val="none"/>
          <w:lang w:val="en-US"/>
        </w:rPr>
        <w:t>3</w:t>
      </w:r>
      <w:r>
        <w:rPr>
          <w:rFonts w:hint="eastAsia" w:ascii="微软雅黑" w:eastAsia="微软雅黑"/>
          <w:b/>
          <w:color w:val="auto"/>
          <w:sz w:val="32"/>
          <w:szCs w:val="32"/>
          <w:highlight w:val="none"/>
        </w:rPr>
        <w:t>、分项清单报价表</w:t>
      </w:r>
    </w:p>
    <w:p>
      <w:pPr>
        <w:spacing w:line="360" w:lineRule="auto"/>
        <w:rPr>
          <w:color w:val="auto"/>
          <w:w w:val="95"/>
          <w:sz w:val="24"/>
          <w:szCs w:val="24"/>
          <w:highlight w:val="none"/>
        </w:rPr>
      </w:pPr>
    </w:p>
    <w:p>
      <w:pPr>
        <w:spacing w:line="360" w:lineRule="auto"/>
        <w:rPr>
          <w:rFonts w:cs="Times New Roman"/>
          <w:b/>
          <w:color w:val="auto"/>
          <w:sz w:val="24"/>
          <w:szCs w:val="21"/>
          <w:highlight w:val="none"/>
          <w:u w:val="single"/>
        </w:rPr>
      </w:pPr>
      <w:r>
        <w:rPr>
          <w:rFonts w:hint="eastAsia"/>
          <w:color w:val="auto"/>
          <w:sz w:val="24"/>
          <w:highlight w:val="none"/>
        </w:rPr>
        <w:t>项目编号：</w:t>
      </w:r>
      <w:r>
        <w:rPr>
          <w:rFonts w:hint="eastAsia"/>
          <w:color w:val="auto"/>
          <w:sz w:val="24"/>
          <w:highlight w:val="none"/>
          <w:u w:val="single"/>
        </w:rPr>
        <w:t xml:space="preserve">                            </w:t>
      </w:r>
      <w:r>
        <w:rPr>
          <w:rFonts w:hint="eastAsia" w:cs="Times New Roman"/>
          <w:b/>
          <w:bCs/>
          <w:color w:val="auto"/>
          <w:sz w:val="24"/>
          <w:szCs w:val="21"/>
          <w:highlight w:val="none"/>
          <w:u w:val="single"/>
        </w:rPr>
        <w:t xml:space="preserve">     </w:t>
      </w:r>
      <w:r>
        <w:rPr>
          <w:rFonts w:hint="eastAsia" w:cs="Times New Roman"/>
          <w:b/>
          <w:bCs/>
          <w:color w:val="auto"/>
          <w:sz w:val="24"/>
          <w:szCs w:val="21"/>
          <w:highlight w:val="none"/>
        </w:rPr>
        <w:t xml:space="preserve">        </w:t>
      </w:r>
    </w:p>
    <w:tbl>
      <w:tblPr>
        <w:tblStyle w:val="26"/>
        <w:tblW w:w="973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902"/>
        <w:gridCol w:w="1843"/>
        <w:gridCol w:w="800"/>
        <w:gridCol w:w="1042"/>
        <w:gridCol w:w="1418"/>
        <w:gridCol w:w="1134"/>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2"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序号</w:t>
            </w:r>
          </w:p>
        </w:tc>
        <w:tc>
          <w:tcPr>
            <w:tcW w:w="1902" w:type="dxa"/>
            <w:shd w:val="clear" w:color="auto" w:fill="auto"/>
            <w:vAlign w:val="center"/>
          </w:tcPr>
          <w:p>
            <w:pPr>
              <w:spacing w:line="360" w:lineRule="auto"/>
              <w:ind w:left="-51" w:leftChars="-23" w:right="-68" w:rightChars="-31"/>
              <w:jc w:val="center"/>
              <w:rPr>
                <w:color w:val="auto"/>
                <w:sz w:val="24"/>
                <w:highlight w:val="none"/>
              </w:rPr>
            </w:pPr>
            <w:r>
              <w:rPr>
                <w:rFonts w:hint="eastAsia"/>
                <w:color w:val="auto"/>
                <w:sz w:val="24"/>
                <w:highlight w:val="none"/>
              </w:rPr>
              <w:t>名称</w:t>
            </w:r>
          </w:p>
        </w:tc>
        <w:tc>
          <w:tcPr>
            <w:tcW w:w="1843" w:type="dxa"/>
            <w:shd w:val="clear" w:color="auto" w:fill="auto"/>
            <w:vAlign w:val="center"/>
          </w:tcPr>
          <w:p>
            <w:pPr>
              <w:ind w:left="-51" w:leftChars="-23" w:right="-68" w:rightChars="-31"/>
              <w:jc w:val="center"/>
              <w:rPr>
                <w:color w:val="auto"/>
                <w:sz w:val="24"/>
                <w:highlight w:val="none"/>
              </w:rPr>
            </w:pPr>
            <w:r>
              <w:rPr>
                <w:rFonts w:hint="eastAsia"/>
                <w:color w:val="auto"/>
                <w:sz w:val="24"/>
                <w:highlight w:val="none"/>
              </w:rPr>
              <w:t>品牌型号规格</w:t>
            </w:r>
          </w:p>
        </w:tc>
        <w:tc>
          <w:tcPr>
            <w:tcW w:w="800" w:type="dxa"/>
            <w:shd w:val="clear" w:color="auto" w:fill="auto"/>
            <w:vAlign w:val="center"/>
          </w:tcPr>
          <w:p>
            <w:pPr>
              <w:spacing w:line="360" w:lineRule="auto"/>
              <w:ind w:left="-51" w:leftChars="-23" w:right="-68" w:rightChars="-31"/>
              <w:jc w:val="center"/>
              <w:rPr>
                <w:color w:val="auto"/>
                <w:sz w:val="24"/>
                <w:highlight w:val="none"/>
              </w:rPr>
            </w:pPr>
            <w:r>
              <w:rPr>
                <w:rFonts w:hint="eastAsia"/>
                <w:color w:val="auto"/>
                <w:sz w:val="24"/>
                <w:highlight w:val="none"/>
              </w:rPr>
              <w:t>数量</w:t>
            </w:r>
          </w:p>
        </w:tc>
        <w:tc>
          <w:tcPr>
            <w:tcW w:w="1042" w:type="dxa"/>
            <w:shd w:val="clear" w:color="auto" w:fill="auto"/>
            <w:vAlign w:val="center"/>
          </w:tcPr>
          <w:p>
            <w:pPr>
              <w:spacing w:line="360" w:lineRule="auto"/>
              <w:ind w:left="-51" w:leftChars="-23" w:right="-68" w:rightChars="-31"/>
              <w:jc w:val="center"/>
              <w:rPr>
                <w:color w:val="auto"/>
                <w:sz w:val="24"/>
                <w:highlight w:val="none"/>
              </w:rPr>
            </w:pPr>
            <w:r>
              <w:rPr>
                <w:color w:val="auto"/>
                <w:sz w:val="24"/>
                <w:highlight w:val="none"/>
              </w:rPr>
              <w:t>单位</w:t>
            </w:r>
          </w:p>
        </w:tc>
        <w:tc>
          <w:tcPr>
            <w:tcW w:w="1418"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单价（元）</w:t>
            </w:r>
          </w:p>
        </w:tc>
        <w:tc>
          <w:tcPr>
            <w:tcW w:w="1134"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分项合计</w:t>
            </w:r>
          </w:p>
        </w:tc>
        <w:tc>
          <w:tcPr>
            <w:tcW w:w="945" w:type="dxa"/>
            <w:shd w:val="clear" w:color="auto" w:fill="auto"/>
          </w:tcPr>
          <w:p>
            <w:pPr>
              <w:widowControl/>
              <w:autoSpaceDE/>
              <w:autoSpaceDN/>
              <w:rPr>
                <w:color w:val="auto"/>
                <w:highlight w:val="none"/>
              </w:rPr>
            </w:pPr>
            <w:r>
              <w:rPr>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pPr>
              <w:numPr>
                <w:ilvl w:val="0"/>
                <w:numId w:val="21"/>
              </w:numPr>
              <w:tabs>
                <w:tab w:val="left" w:pos="82"/>
              </w:tabs>
              <w:adjustRightInd w:val="0"/>
              <w:snapToGrid w:val="0"/>
              <w:jc w:val="center"/>
              <w:rPr>
                <w:color w:val="auto"/>
                <w:sz w:val="24"/>
                <w:highlight w:val="none"/>
              </w:rPr>
            </w:pPr>
          </w:p>
        </w:tc>
        <w:tc>
          <w:tcPr>
            <w:tcW w:w="1902" w:type="dxa"/>
            <w:shd w:val="clear" w:color="auto" w:fill="auto"/>
            <w:vAlign w:val="center"/>
          </w:tcPr>
          <w:p>
            <w:pPr>
              <w:tabs>
                <w:tab w:val="left" w:pos="0"/>
                <w:tab w:val="left" w:pos="56"/>
              </w:tabs>
              <w:adjustRightInd w:val="0"/>
              <w:snapToGrid w:val="0"/>
              <w:ind w:left="547" w:hanging="547" w:hangingChars="228"/>
              <w:jc w:val="center"/>
              <w:rPr>
                <w:color w:val="auto"/>
                <w:sz w:val="24"/>
                <w:highlight w:val="none"/>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394" w:rightChars="-179"/>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restart"/>
            <w:shd w:val="clear" w:color="auto" w:fill="auto"/>
          </w:tcPr>
          <w:p>
            <w:pPr>
              <w:widowControl/>
              <w:autoSpaceDE/>
              <w:autoSpaceDN/>
              <w:rPr>
                <w:color w:val="auto"/>
                <w:highlight w:val="none"/>
              </w:rPr>
            </w:pPr>
            <w:r>
              <w:rPr>
                <w:color w:val="auto"/>
                <w:highlight w:val="none"/>
              </w:rPr>
              <w:t>此报价含税、运输、安装等一切与本项目相关的费用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pPr>
              <w:numPr>
                <w:ilvl w:val="0"/>
                <w:numId w:val="21"/>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pPr>
              <w:numPr>
                <w:ilvl w:val="0"/>
                <w:numId w:val="21"/>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pPr>
              <w:numPr>
                <w:ilvl w:val="0"/>
                <w:numId w:val="21"/>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pPr>
              <w:numPr>
                <w:ilvl w:val="0"/>
                <w:numId w:val="21"/>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pPr>
              <w:numPr>
                <w:ilvl w:val="0"/>
                <w:numId w:val="21"/>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pPr>
              <w:tabs>
                <w:tab w:val="left" w:pos="82"/>
              </w:tabs>
              <w:adjustRightInd w:val="0"/>
              <w:snapToGrid w:val="0"/>
              <w:jc w:val="center"/>
              <w:rPr>
                <w:color w:val="auto"/>
                <w:sz w:val="24"/>
                <w:highlight w:val="none"/>
              </w:rPr>
            </w:pPr>
            <w:r>
              <w:rPr>
                <w:rFonts w:hint="eastAsia"/>
                <w:color w:val="auto"/>
                <w:sz w:val="24"/>
                <w:highlight w:val="none"/>
              </w:rPr>
              <w:t>…</w:t>
            </w:r>
          </w:p>
        </w:tc>
        <w:tc>
          <w:tcPr>
            <w:tcW w:w="1902" w:type="dxa"/>
            <w:shd w:val="clear" w:color="auto" w:fill="auto"/>
            <w:vAlign w:val="center"/>
          </w:tcPr>
          <w:p>
            <w:pPr>
              <w:spacing w:line="240" w:lineRule="atLeast"/>
              <w:ind w:left="-51" w:leftChars="-23" w:right="-68" w:rightChars="-31"/>
              <w:rPr>
                <w:color w:val="auto"/>
                <w:sz w:val="24"/>
                <w:szCs w:val="24"/>
                <w:highlight w:val="none"/>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239" w:type="dxa"/>
            <w:gridSpan w:val="5"/>
            <w:shd w:val="clear" w:color="auto" w:fill="auto"/>
            <w:vAlign w:val="center"/>
          </w:tcPr>
          <w:p>
            <w:pPr>
              <w:spacing w:line="240" w:lineRule="atLeast"/>
              <w:ind w:left="-51" w:leftChars="-23" w:right="-68" w:rightChars="-31"/>
              <w:jc w:val="center"/>
              <w:rPr>
                <w:color w:val="auto"/>
                <w:sz w:val="24"/>
                <w:szCs w:val="24"/>
                <w:highlight w:val="none"/>
              </w:rPr>
            </w:pPr>
            <w:r>
              <w:rPr>
                <w:rFonts w:hint="eastAsia"/>
                <w:color w:val="auto"/>
                <w:sz w:val="24"/>
                <w:szCs w:val="24"/>
                <w:highlight w:val="none"/>
              </w:rPr>
              <w:t>合计</w:t>
            </w:r>
          </w:p>
        </w:tc>
        <w:tc>
          <w:tcPr>
            <w:tcW w:w="3497" w:type="dxa"/>
            <w:gridSpan w:val="3"/>
            <w:shd w:val="clear" w:color="auto" w:fill="auto"/>
            <w:vAlign w:val="center"/>
          </w:tcPr>
          <w:p>
            <w:pPr>
              <w:widowControl/>
              <w:autoSpaceDE/>
              <w:autoSpaceDN/>
              <w:rPr>
                <w:color w:val="auto"/>
                <w:highlight w:val="none"/>
              </w:rPr>
            </w:pPr>
          </w:p>
        </w:tc>
      </w:tr>
    </w:tbl>
    <w:p>
      <w:pPr>
        <w:pStyle w:val="24"/>
        <w:snapToGrid w:val="0"/>
        <w:ind w:left="426" w:firstLine="0" w:firstLineChars="0"/>
        <w:textAlignment w:val="baseline"/>
        <w:rPr>
          <w:color w:val="auto"/>
          <w:sz w:val="20"/>
          <w:szCs w:val="20"/>
          <w:highlight w:val="none"/>
        </w:rPr>
      </w:pPr>
    </w:p>
    <w:p>
      <w:pPr>
        <w:snapToGrid w:val="0"/>
        <w:spacing w:line="360" w:lineRule="auto"/>
        <w:ind w:left="1049" w:hanging="1048" w:hangingChars="437"/>
        <w:textAlignment w:val="baseline"/>
        <w:rPr>
          <w:color w:val="auto"/>
          <w:sz w:val="24"/>
          <w:highlight w:val="none"/>
        </w:rPr>
      </w:pPr>
      <w:r>
        <w:rPr>
          <w:rFonts w:hint="eastAsia"/>
          <w:color w:val="auto"/>
          <w:sz w:val="24"/>
          <w:highlight w:val="none"/>
        </w:rPr>
        <w:t>说明：1．所有价格均用人民币表示，单位为元。</w:t>
      </w:r>
    </w:p>
    <w:p>
      <w:pPr>
        <w:snapToGrid w:val="0"/>
        <w:spacing w:line="360" w:lineRule="auto"/>
        <w:ind w:left="1096" w:leftChars="339" w:hanging="350" w:hangingChars="146"/>
        <w:textAlignment w:val="baseline"/>
        <w:rPr>
          <w:color w:val="auto"/>
          <w:sz w:val="24"/>
          <w:highlight w:val="none"/>
        </w:rPr>
      </w:pPr>
      <w:r>
        <w:rPr>
          <w:rFonts w:hint="eastAsia"/>
          <w:color w:val="auto"/>
          <w:sz w:val="24"/>
          <w:highlight w:val="none"/>
        </w:rPr>
        <w:t>2．报价明细表合计应与《开标一览表》中的投标总报价一致。</w:t>
      </w:r>
    </w:p>
    <w:p>
      <w:pPr>
        <w:snapToGrid w:val="0"/>
        <w:spacing w:line="360" w:lineRule="auto"/>
        <w:ind w:left="1096" w:leftChars="339" w:hanging="350" w:hangingChars="146"/>
        <w:textAlignment w:val="baseline"/>
        <w:rPr>
          <w:color w:val="auto"/>
          <w:sz w:val="24"/>
          <w:highlight w:val="none"/>
        </w:rPr>
      </w:pPr>
      <w:r>
        <w:rPr>
          <w:rFonts w:hint="eastAsia"/>
          <w:color w:val="auto"/>
          <w:sz w:val="24"/>
          <w:highlight w:val="none"/>
        </w:rPr>
        <w:t>3．未提供详细的货物（服务）报价明细</w:t>
      </w:r>
      <w:r>
        <w:rPr>
          <w:rFonts w:hint="eastAsia" w:cs="Corbel"/>
          <w:color w:val="auto"/>
          <w:sz w:val="24"/>
          <w:highlight w:val="none"/>
        </w:rPr>
        <w:t>，</w:t>
      </w:r>
      <w:r>
        <w:rPr>
          <w:rFonts w:hint="eastAsia"/>
          <w:color w:val="auto"/>
          <w:sz w:val="24"/>
          <w:highlight w:val="none"/>
        </w:rPr>
        <w:t>导致的后果由</w:t>
      </w:r>
      <w:r>
        <w:rPr>
          <w:rFonts w:hint="eastAsia"/>
          <w:color w:val="auto"/>
          <w:sz w:val="24"/>
          <w:highlight w:val="none"/>
          <w:lang w:val="en-US"/>
        </w:rPr>
        <w:t>投标人</w:t>
      </w:r>
      <w:r>
        <w:rPr>
          <w:rFonts w:hint="eastAsia"/>
          <w:color w:val="auto"/>
          <w:sz w:val="24"/>
          <w:highlight w:val="none"/>
        </w:rPr>
        <w:t>自行承担。</w:t>
      </w:r>
    </w:p>
    <w:p>
      <w:pPr>
        <w:snapToGrid w:val="0"/>
        <w:spacing w:line="360" w:lineRule="auto"/>
        <w:ind w:left="950" w:hanging="950" w:hangingChars="396"/>
        <w:textAlignment w:val="baseline"/>
        <w:rPr>
          <w:rFonts w:cs="Times New Roman"/>
          <w:color w:val="auto"/>
          <w:sz w:val="24"/>
          <w:szCs w:val="24"/>
          <w:highlight w:val="none"/>
        </w:rPr>
      </w:pPr>
    </w:p>
    <w:p>
      <w:pPr>
        <w:snapToGrid w:val="0"/>
        <w:spacing w:line="360" w:lineRule="auto"/>
        <w:textAlignment w:val="baseline"/>
        <w:rPr>
          <w:rFonts w:cs="Times New Roman"/>
          <w:color w:val="auto"/>
          <w:sz w:val="24"/>
          <w:szCs w:val="24"/>
          <w:highlight w:val="none"/>
        </w:rPr>
      </w:pP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b/>
          <w:bCs/>
          <w:color w:val="auto"/>
          <w:sz w:val="24"/>
          <w:highlight w:val="none"/>
        </w:rPr>
        <w:t>投标人（公章）：</w:t>
      </w: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cs="Times New Roman"/>
          <w:b/>
          <w:bCs/>
          <w:color w:val="auto"/>
          <w:sz w:val="24"/>
          <w:szCs w:val="21"/>
          <w:highlight w:val="none"/>
        </w:rPr>
        <w:t>投标人</w:t>
      </w:r>
      <w:r>
        <w:rPr>
          <w:rFonts w:hint="eastAsia"/>
          <w:b/>
          <w:bCs/>
          <w:color w:val="auto"/>
          <w:sz w:val="24"/>
          <w:highlight w:val="none"/>
        </w:rPr>
        <w:t>授权代表（签字）：</w:t>
      </w: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cs="Times New Roman"/>
          <w:b/>
          <w:bCs/>
          <w:color w:val="auto"/>
          <w:sz w:val="24"/>
          <w:szCs w:val="21"/>
          <w:highlight w:val="none"/>
        </w:rPr>
        <w:t>投标</w:t>
      </w:r>
      <w:r>
        <w:rPr>
          <w:rFonts w:hint="eastAsia"/>
          <w:b/>
          <w:bCs/>
          <w:color w:val="auto"/>
          <w:sz w:val="24"/>
          <w:highlight w:val="none"/>
        </w:rPr>
        <w:t>时间：</w:t>
      </w:r>
    </w:p>
    <w:p>
      <w:pPr>
        <w:snapToGrid w:val="0"/>
        <w:spacing w:before="38"/>
        <w:ind w:right="34"/>
        <w:jc w:val="center"/>
        <w:textAlignment w:val="baseline"/>
        <w:rPr>
          <w:rFonts w:ascii="微软雅黑" w:eastAsia="微软雅黑"/>
          <w:b/>
          <w:color w:val="auto"/>
          <w:sz w:val="32"/>
          <w:highlight w:val="none"/>
        </w:rPr>
        <w:sectPr>
          <w:footerReference r:id="rId11" w:type="default"/>
          <w:pgSz w:w="11900" w:h="16840"/>
          <w:pgMar w:top="1321" w:right="1179" w:bottom="1219" w:left="1219" w:header="879" w:footer="1020" w:gutter="0"/>
          <w:cols w:space="0" w:num="1"/>
          <w:rtlGutter w:val="0"/>
          <w:docGrid w:linePitch="0" w:charSpace="0"/>
        </w:sectPr>
      </w:pPr>
    </w:p>
    <w:p>
      <w:pPr>
        <w:snapToGrid w:val="0"/>
        <w:spacing w:before="38"/>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二、商务标部分格式</w:t>
      </w:r>
    </w:p>
    <w:p>
      <w:pPr>
        <w:pStyle w:val="10"/>
        <w:snapToGrid w:val="0"/>
        <w:spacing w:before="11"/>
        <w:textAlignment w:val="baseline"/>
        <w:rPr>
          <w:rFonts w:ascii="微软雅黑"/>
          <w:b/>
          <w:color w:val="auto"/>
          <w:sz w:val="20"/>
          <w:highlight w:val="none"/>
        </w:rPr>
      </w:pPr>
    </w:p>
    <w:p>
      <w:pPr>
        <w:snapToGrid w:val="0"/>
        <w:ind w:right="31"/>
        <w:jc w:val="center"/>
        <w:textAlignment w:val="baseline"/>
        <w:rPr>
          <w:rFonts w:ascii="微软雅黑" w:eastAsia="微软雅黑"/>
          <w:b/>
          <w:color w:val="auto"/>
          <w:sz w:val="32"/>
          <w:szCs w:val="32"/>
          <w:highlight w:val="none"/>
        </w:rPr>
      </w:pPr>
      <w:bookmarkStart w:id="45" w:name="_TOC_250012"/>
      <w:bookmarkEnd w:id="45"/>
      <w:r>
        <w:rPr>
          <w:rFonts w:hint="eastAsia" w:ascii="微软雅黑" w:eastAsia="微软雅黑"/>
          <w:b/>
          <w:color w:val="auto"/>
          <w:sz w:val="32"/>
          <w:szCs w:val="32"/>
          <w:highlight w:val="none"/>
        </w:rPr>
        <w:t>1、法定代表人身份证明</w:t>
      </w:r>
    </w:p>
    <w:p>
      <w:pPr>
        <w:pStyle w:val="10"/>
        <w:snapToGrid w:val="0"/>
        <w:spacing w:before="1"/>
        <w:textAlignment w:val="baseline"/>
        <w:rPr>
          <w:rFonts w:ascii="微软雅黑"/>
          <w:b/>
          <w:color w:val="auto"/>
          <w:sz w:val="24"/>
          <w:szCs w:val="24"/>
          <w:highlight w:val="none"/>
        </w:rPr>
      </w:pPr>
    </w:p>
    <w:p>
      <w:pPr>
        <w:tabs>
          <w:tab w:val="left" w:pos="6774"/>
        </w:tabs>
        <w:snapToGrid w:val="0"/>
        <w:spacing w:before="1"/>
        <w:ind w:right="483"/>
        <w:jc w:val="center"/>
        <w:textAlignment w:val="baseline"/>
        <w:rPr>
          <w:rFonts w:ascii="Times New Roman" w:eastAsia="Times New Roman"/>
          <w:color w:val="auto"/>
          <w:sz w:val="24"/>
          <w:szCs w:val="24"/>
          <w:highlight w:val="none"/>
        </w:rPr>
      </w:pPr>
      <w:r>
        <w:rPr>
          <w:color w:val="auto"/>
          <w:sz w:val="24"/>
          <w:szCs w:val="24"/>
          <w:highlight w:val="none"/>
        </w:rPr>
        <w:t>投标 人：</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单位性质：</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719"/>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地</w:t>
      </w:r>
      <w:r>
        <w:rPr>
          <w:color w:val="auto"/>
          <w:sz w:val="24"/>
          <w:szCs w:val="24"/>
          <w:highlight w:val="none"/>
        </w:rPr>
        <w:tab/>
      </w:r>
      <w:r>
        <w:rPr>
          <w:color w:val="auto"/>
          <w:sz w:val="24"/>
          <w:szCs w:val="24"/>
          <w:highlight w:val="none"/>
        </w:rPr>
        <w:t>址：</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3694"/>
          <w:tab w:val="left" w:pos="4894"/>
          <w:tab w:val="left" w:pos="6214"/>
        </w:tabs>
        <w:snapToGrid w:val="0"/>
        <w:spacing w:before="74"/>
        <w:ind w:left="1119"/>
        <w:textAlignment w:val="baseline"/>
        <w:rPr>
          <w:color w:val="auto"/>
          <w:sz w:val="24"/>
          <w:szCs w:val="24"/>
          <w:highlight w:val="none"/>
        </w:rPr>
      </w:pPr>
      <w:r>
        <w:rPr>
          <w:color w:val="auto"/>
          <w:sz w:val="24"/>
          <w:szCs w:val="24"/>
          <w:highlight w:val="none"/>
        </w:rPr>
        <w:t>成立时间：</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4"/>
          <w:szCs w:val="24"/>
          <w:highlight w:val="none"/>
        </w:rPr>
      </w:pPr>
    </w:p>
    <w:p>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经营期限：</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1919"/>
          <w:tab w:val="left" w:pos="3479"/>
          <w:tab w:val="left" w:pos="4974"/>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姓名:</w:t>
      </w:r>
      <w:r>
        <w:rPr>
          <w:color w:val="auto"/>
          <w:sz w:val="24"/>
          <w:szCs w:val="24"/>
          <w:highlight w:val="none"/>
          <w:u w:val="single"/>
        </w:rPr>
        <w:tab/>
      </w:r>
      <w:r>
        <w:rPr>
          <w:color w:val="auto"/>
          <w:sz w:val="24"/>
          <w:szCs w:val="24"/>
          <w:highlight w:val="none"/>
        </w:rPr>
        <w:t>性别：</w:t>
      </w:r>
      <w:r>
        <w:rPr>
          <w:color w:val="auto"/>
          <w:sz w:val="24"/>
          <w:szCs w:val="24"/>
          <w:highlight w:val="none"/>
          <w:u w:val="single"/>
        </w:rPr>
        <w:tab/>
      </w:r>
      <w:r>
        <w:rPr>
          <w:color w:val="auto"/>
          <w:sz w:val="24"/>
          <w:szCs w:val="24"/>
          <w:highlight w:val="none"/>
        </w:rPr>
        <w:t>年龄：</w:t>
      </w:r>
      <w:r>
        <w:rPr>
          <w:color w:val="auto"/>
          <w:sz w:val="24"/>
          <w:szCs w:val="24"/>
          <w:highlight w:val="none"/>
          <w:u w:val="single"/>
        </w:rPr>
        <w:tab/>
      </w:r>
      <w:r>
        <w:rPr>
          <w:color w:val="auto"/>
          <w:w w:val="95"/>
          <w:sz w:val="24"/>
          <w:szCs w:val="24"/>
          <w:highlight w:val="none"/>
        </w:rPr>
        <w:t>职务：</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2319"/>
          <w:tab w:val="left" w:pos="5319"/>
        </w:tabs>
        <w:snapToGrid w:val="0"/>
        <w:spacing w:before="74"/>
        <w:ind w:left="1119"/>
        <w:textAlignment w:val="baseline"/>
        <w:rPr>
          <w:color w:val="auto"/>
          <w:sz w:val="24"/>
          <w:szCs w:val="24"/>
          <w:highlight w:val="none"/>
        </w:rPr>
      </w:pP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（投标人单位名称）</w:t>
      </w:r>
      <w:r>
        <w:rPr>
          <w:color w:val="auto"/>
          <w:sz w:val="24"/>
          <w:szCs w:val="24"/>
          <w:highlight w:val="none"/>
          <w:u w:val="single"/>
        </w:rPr>
        <w:tab/>
      </w:r>
      <w:r>
        <w:rPr>
          <w:color w:val="auto"/>
          <w:sz w:val="24"/>
          <w:szCs w:val="24"/>
          <w:highlight w:val="none"/>
        </w:rPr>
        <w:t>的法定代表人。</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6"/>
        <w:textAlignment w:val="baseline"/>
        <w:rPr>
          <w:color w:val="auto"/>
          <w:sz w:val="24"/>
          <w:szCs w:val="24"/>
          <w:highlight w:val="none"/>
        </w:rPr>
      </w:pPr>
    </w:p>
    <w:p>
      <w:pPr>
        <w:snapToGrid w:val="0"/>
        <w:spacing w:before="67"/>
        <w:ind w:left="1119"/>
        <w:textAlignment w:val="baseline"/>
        <w:rPr>
          <w:color w:val="auto"/>
          <w:sz w:val="24"/>
          <w:szCs w:val="24"/>
          <w:highlight w:val="none"/>
        </w:rPr>
      </w:pPr>
      <w:r>
        <w:rPr>
          <w:color w:val="auto"/>
          <w:sz w:val="24"/>
          <w:szCs w:val="24"/>
          <w:highlight w:val="none"/>
        </w:rPr>
        <w:t>特此证明。</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6"/>
        <w:textAlignment w:val="baseline"/>
        <w:rPr>
          <w:color w:val="auto"/>
          <w:sz w:val="24"/>
          <w:szCs w:val="24"/>
          <w:highlight w:val="none"/>
        </w:rPr>
      </w:pPr>
    </w:p>
    <w:p>
      <w:pPr>
        <w:tabs>
          <w:tab w:val="left" w:pos="3294"/>
        </w:tabs>
        <w:snapToGrid w:val="0"/>
        <w:spacing w:before="74"/>
        <w:ind w:right="262"/>
        <w:jc w:val="center"/>
        <w:textAlignment w:val="baseline"/>
        <w:rPr>
          <w:rFonts w:ascii="Times New Roman" w:eastAsia="Times New Roman"/>
          <w:color w:val="auto"/>
          <w:sz w:val="24"/>
          <w:szCs w:val="24"/>
          <w:highlight w:val="none"/>
        </w:rPr>
      </w:pPr>
      <w:r>
        <w:rPr>
          <w:color w:val="auto"/>
          <w:sz w:val="24"/>
          <w:szCs w:val="24"/>
          <w:highlight w:val="none"/>
        </w:rPr>
        <w:t>投标人（盖章）：</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spacing w:before="2"/>
        <w:textAlignment w:val="baseline"/>
        <w:rPr>
          <w:rFonts w:ascii="Times New Roman"/>
          <w:color w:val="auto"/>
          <w:sz w:val="24"/>
          <w:szCs w:val="24"/>
          <w:highlight w:val="none"/>
        </w:rPr>
      </w:pPr>
    </w:p>
    <w:p>
      <w:pPr>
        <w:tabs>
          <w:tab w:val="left" w:pos="645"/>
          <w:tab w:val="left" w:pos="1845"/>
          <w:tab w:val="left" w:pos="2685"/>
          <w:tab w:val="left" w:pos="3645"/>
        </w:tabs>
        <w:snapToGrid w:val="0"/>
        <w:spacing w:before="74"/>
        <w:ind w:left="165"/>
        <w:jc w:val="center"/>
        <w:textAlignment w:val="baseline"/>
        <w:rPr>
          <w:color w:val="auto"/>
          <w:sz w:val="24"/>
          <w:szCs w:val="24"/>
          <w:highlight w:val="none"/>
        </w:rPr>
      </w:pPr>
      <w:r>
        <w:rPr>
          <w:color w:val="auto"/>
          <w:sz w:val="24"/>
          <w:szCs w:val="24"/>
          <w:highlight w:val="none"/>
        </w:rPr>
        <w:t>日</w:t>
      </w:r>
      <w:r>
        <w:rPr>
          <w:color w:val="auto"/>
          <w:sz w:val="24"/>
          <w:szCs w:val="24"/>
          <w:highlight w:val="none"/>
        </w:rPr>
        <w:tab/>
      </w:r>
      <w:r>
        <w:rPr>
          <w:color w:val="auto"/>
          <w:sz w:val="24"/>
          <w:szCs w:val="24"/>
          <w:highlight w:val="none"/>
        </w:rPr>
        <w:t>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4"/>
          <w:szCs w:val="24"/>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spacing w:before="3"/>
        <w:textAlignment w:val="baseline"/>
        <w:rPr>
          <w:color w:val="auto"/>
          <w:sz w:val="17"/>
          <w:highlight w:val="none"/>
        </w:rPr>
      </w:pPr>
    </w:p>
    <w:p>
      <w:pPr>
        <w:snapToGrid w:val="0"/>
        <w:spacing w:before="67"/>
        <w:textAlignment w:val="baseline"/>
        <w:rPr>
          <w:color w:val="auto"/>
          <w:sz w:val="20"/>
          <w:highlight w:val="none"/>
        </w:rPr>
      </w:pPr>
      <w:r>
        <w:rPr>
          <w:color w:val="auto"/>
          <w:highlight w:val="none"/>
        </w:rPr>
        <w:t>附：法定代表人身份证复印件</w:t>
      </w:r>
    </w:p>
    <w:p>
      <w:pPr>
        <w:snapToGrid w:val="0"/>
        <w:textAlignment w:val="baseline"/>
        <w:rPr>
          <w:color w:val="auto"/>
          <w:sz w:val="20"/>
          <w:highlight w:val="none"/>
        </w:rPr>
        <w:sectPr>
          <w:pgSz w:w="11900" w:h="16840"/>
          <w:pgMar w:top="1321" w:right="1179" w:bottom="1219" w:left="1219" w:header="879" w:footer="1020" w:gutter="0"/>
          <w:cols w:space="0" w:num="1"/>
          <w:rtlGutter w:val="0"/>
          <w:docGrid w:linePitch="0" w:charSpace="0"/>
        </w:sectPr>
      </w:pPr>
    </w:p>
    <w:p>
      <w:pPr>
        <w:pStyle w:val="10"/>
        <w:snapToGrid w:val="0"/>
        <w:spacing w:before="4"/>
        <w:textAlignment w:val="baseline"/>
        <w:rPr>
          <w:color w:val="auto"/>
          <w:sz w:val="12"/>
          <w:highlight w:val="none"/>
        </w:rPr>
      </w:pPr>
    </w:p>
    <w:p>
      <w:pPr>
        <w:snapToGrid w:val="0"/>
        <w:spacing w:line="542" w:lineRule="exact"/>
        <w:ind w:right="36"/>
        <w:jc w:val="center"/>
        <w:textAlignment w:val="baseline"/>
        <w:rPr>
          <w:rFonts w:ascii="微软雅黑" w:eastAsia="微软雅黑"/>
          <w:b/>
          <w:color w:val="auto"/>
          <w:sz w:val="32"/>
          <w:highlight w:val="none"/>
        </w:rPr>
      </w:pPr>
      <w:bookmarkStart w:id="46" w:name="_TOC_250011"/>
      <w:bookmarkEnd w:id="46"/>
      <w:r>
        <w:rPr>
          <w:rFonts w:hint="eastAsia" w:ascii="微软雅黑" w:eastAsia="微软雅黑"/>
          <w:b/>
          <w:color w:val="auto"/>
          <w:sz w:val="32"/>
          <w:highlight w:val="none"/>
        </w:rPr>
        <w:t>2、法定代表人授权书</w:t>
      </w:r>
    </w:p>
    <w:p>
      <w:pPr>
        <w:pStyle w:val="10"/>
        <w:snapToGrid w:val="0"/>
        <w:spacing w:before="5"/>
        <w:textAlignment w:val="baseline"/>
        <w:rPr>
          <w:rFonts w:ascii="微软雅黑"/>
          <w:b/>
          <w:color w:val="auto"/>
          <w:sz w:val="24"/>
          <w:szCs w:val="24"/>
          <w:highlight w:val="none"/>
        </w:rPr>
      </w:pPr>
    </w:p>
    <w:p>
      <w:pPr>
        <w:tabs>
          <w:tab w:val="left" w:pos="2139"/>
          <w:tab w:val="left" w:pos="4539"/>
        </w:tabs>
        <w:snapToGrid w:val="0"/>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p>
    <w:p>
      <w:pPr>
        <w:pStyle w:val="10"/>
        <w:snapToGrid w:val="0"/>
        <w:spacing w:before="11"/>
        <w:textAlignment w:val="baseline"/>
        <w:rPr>
          <w:color w:val="auto"/>
          <w:sz w:val="24"/>
          <w:szCs w:val="24"/>
          <w:highlight w:val="none"/>
        </w:rPr>
      </w:pPr>
    </w:p>
    <w:p>
      <w:pPr>
        <w:tabs>
          <w:tab w:val="left" w:pos="3791"/>
          <w:tab w:val="left" w:pos="6248"/>
          <w:tab w:val="left" w:pos="6788"/>
        </w:tabs>
        <w:snapToGrid w:val="0"/>
        <w:spacing w:before="74" w:line="360" w:lineRule="auto"/>
        <w:ind w:firstLine="480" w:firstLineChars="200"/>
        <w:textAlignment w:val="baseline"/>
        <w:rPr>
          <w:color w:val="auto"/>
          <w:sz w:val="24"/>
          <w:szCs w:val="24"/>
          <w:highlight w:val="none"/>
        </w:rPr>
      </w:pPr>
      <w:r>
        <w:rPr>
          <w:color w:val="auto"/>
          <w:sz w:val="24"/>
          <w:szCs w:val="24"/>
          <w:highlight w:val="none"/>
        </w:rPr>
        <w:t>本授权委托书声明</w:t>
      </w:r>
      <w:r>
        <w:rPr>
          <w:color w:val="auto"/>
          <w:spacing w:val="-60"/>
          <w:sz w:val="24"/>
          <w:szCs w:val="24"/>
          <w:highlight w:val="none"/>
        </w:rPr>
        <w:t>：</w:t>
      </w:r>
      <w:r>
        <w:rPr>
          <w:color w:val="auto"/>
          <w:sz w:val="24"/>
          <w:szCs w:val="24"/>
          <w:highlight w:val="none"/>
        </w:rPr>
        <w:t>我</w:t>
      </w:r>
      <w:r>
        <w:rPr>
          <w:color w:val="auto"/>
          <w:sz w:val="24"/>
          <w:szCs w:val="24"/>
          <w:highlight w:val="none"/>
          <w:u w:val="single"/>
        </w:rPr>
        <w:tab/>
      </w:r>
      <w:r>
        <w:rPr>
          <w:color w:val="auto"/>
          <w:sz w:val="24"/>
          <w:szCs w:val="24"/>
          <w:highlight w:val="none"/>
          <w:u w:val="single"/>
        </w:rPr>
        <w:t>（法定代表人姓名）</w:t>
      </w:r>
      <w:r>
        <w:rPr>
          <w:color w:val="auto"/>
          <w:sz w:val="24"/>
          <w:szCs w:val="24"/>
          <w:highlight w:val="none"/>
          <w:u w:val="single"/>
        </w:rPr>
        <w:tab/>
      </w: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（投标人名称）</w:t>
      </w:r>
      <w:r>
        <w:rPr>
          <w:color w:val="auto"/>
          <w:sz w:val="24"/>
          <w:szCs w:val="24"/>
          <w:highlight w:val="none"/>
        </w:rPr>
        <w:t>的法定代表人，经合法授权，现委托我公司职工</w:t>
      </w:r>
      <w:r>
        <w:rPr>
          <w:color w:val="auto"/>
          <w:sz w:val="24"/>
          <w:szCs w:val="24"/>
          <w:highlight w:val="none"/>
          <w:u w:val="single"/>
        </w:rPr>
        <w:tab/>
      </w:r>
      <w:r>
        <w:rPr>
          <w:color w:val="auto"/>
          <w:sz w:val="24"/>
          <w:szCs w:val="24"/>
          <w:highlight w:val="none"/>
          <w:u w:val="single"/>
        </w:rPr>
        <w:t>（姓名）</w:t>
      </w:r>
      <w:r>
        <w:rPr>
          <w:color w:val="auto"/>
          <w:sz w:val="24"/>
          <w:szCs w:val="24"/>
          <w:highlight w:val="none"/>
          <w:u w:val="single"/>
        </w:rPr>
        <w:tab/>
      </w:r>
      <w:r>
        <w:rPr>
          <w:color w:val="auto"/>
          <w:sz w:val="24"/>
          <w:szCs w:val="24"/>
          <w:highlight w:val="none"/>
        </w:rPr>
        <w:t>为我方正式合法代理人</w:t>
      </w:r>
      <w:r>
        <w:rPr>
          <w:color w:val="auto"/>
          <w:spacing w:val="-24"/>
          <w:sz w:val="24"/>
          <w:szCs w:val="24"/>
          <w:highlight w:val="none"/>
        </w:rPr>
        <w:t>，</w:t>
      </w:r>
      <w:r>
        <w:rPr>
          <w:color w:val="auto"/>
          <w:sz w:val="24"/>
          <w:szCs w:val="24"/>
          <w:highlight w:val="none"/>
        </w:rPr>
        <w:t>参加</w:t>
      </w:r>
      <w:r>
        <w:rPr>
          <w:color w:val="auto"/>
          <w:sz w:val="24"/>
          <w:szCs w:val="24"/>
          <w:highlight w:val="none"/>
          <w:u w:val="single"/>
        </w:rPr>
        <w:t>（项目）</w:t>
      </w:r>
      <w:r>
        <w:rPr>
          <w:color w:val="auto"/>
          <w:spacing w:val="-12"/>
          <w:sz w:val="24"/>
          <w:szCs w:val="24"/>
          <w:highlight w:val="none"/>
        </w:rPr>
        <w:t>的投标，并授权代理人以我方的名义在投标、开标、评标、合同谈判过程中签署一切文件和处理与之有关事宜，其</w:t>
      </w:r>
      <w:r>
        <w:rPr>
          <w:color w:val="auto"/>
          <w:sz w:val="24"/>
          <w:szCs w:val="24"/>
          <w:highlight w:val="none"/>
        </w:rPr>
        <w:t>法律后果由我方承担。</w:t>
      </w:r>
    </w:p>
    <w:p>
      <w:pPr>
        <w:tabs>
          <w:tab w:val="left" w:pos="7474"/>
        </w:tabs>
        <w:snapToGrid w:val="0"/>
        <w:spacing w:before="1" w:line="360" w:lineRule="auto"/>
        <w:ind w:firstLine="480" w:firstLineChars="200"/>
        <w:textAlignment w:val="baseline"/>
        <w:rPr>
          <w:rFonts w:ascii="Times New Roman" w:eastAsia="Times New Roman"/>
          <w:color w:val="auto"/>
          <w:sz w:val="24"/>
          <w:szCs w:val="24"/>
          <w:highlight w:val="none"/>
        </w:rPr>
      </w:pPr>
      <w:r>
        <w:rPr>
          <w:color w:val="auto"/>
          <w:sz w:val="24"/>
          <w:szCs w:val="24"/>
          <w:highlight w:val="none"/>
        </w:rPr>
        <w:t>委托期限：</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spacing w:before="6"/>
        <w:textAlignment w:val="baseline"/>
        <w:rPr>
          <w:rFonts w:ascii="Times New Roman"/>
          <w:color w:val="auto"/>
          <w:sz w:val="24"/>
          <w:szCs w:val="24"/>
          <w:highlight w:val="none"/>
        </w:rPr>
      </w:pPr>
    </w:p>
    <w:p>
      <w:pPr>
        <w:snapToGrid w:val="0"/>
        <w:spacing w:before="67"/>
        <w:ind w:left="637"/>
        <w:textAlignment w:val="baseline"/>
        <w:rPr>
          <w:color w:val="auto"/>
          <w:sz w:val="24"/>
          <w:szCs w:val="24"/>
          <w:highlight w:val="none"/>
        </w:rPr>
      </w:pPr>
      <w:r>
        <w:rPr>
          <w:color w:val="auto"/>
          <w:sz w:val="24"/>
          <w:szCs w:val="24"/>
          <w:highlight w:val="none"/>
        </w:rPr>
        <w:t>代理人无转委托权</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9"/>
        <w:textAlignment w:val="baseline"/>
        <w:rPr>
          <w:color w:val="auto"/>
          <w:sz w:val="24"/>
          <w:szCs w:val="24"/>
          <w:highlight w:val="none"/>
        </w:rPr>
      </w:pPr>
    </w:p>
    <w:p>
      <w:pPr>
        <w:tabs>
          <w:tab w:val="left" w:pos="2211"/>
          <w:tab w:val="left" w:pos="2691"/>
          <w:tab w:val="left" w:pos="6706"/>
        </w:tabs>
        <w:snapToGrid w:val="0"/>
        <w:ind w:left="1731"/>
        <w:textAlignment w:val="baseline"/>
        <w:rPr>
          <w:rFonts w:ascii="Times New Roman" w:eastAsia="Times New Roman"/>
          <w:color w:val="auto"/>
          <w:sz w:val="24"/>
          <w:szCs w:val="24"/>
          <w:highlight w:val="none"/>
        </w:rPr>
      </w:pPr>
      <w:r>
        <w:rPr>
          <w:color w:val="auto"/>
          <w:sz w:val="24"/>
          <w:szCs w:val="24"/>
          <w:highlight w:val="none"/>
        </w:rPr>
        <w:t>投</w:t>
      </w:r>
      <w:r>
        <w:rPr>
          <w:color w:val="auto"/>
          <w:sz w:val="24"/>
          <w:szCs w:val="24"/>
          <w:highlight w:val="none"/>
        </w:rPr>
        <w:tab/>
      </w:r>
      <w:r>
        <w:rPr>
          <w:color w:val="auto"/>
          <w:sz w:val="24"/>
          <w:szCs w:val="24"/>
          <w:highlight w:val="none"/>
        </w:rPr>
        <w:t>标</w:t>
      </w:r>
      <w:r>
        <w:rPr>
          <w:color w:val="auto"/>
          <w:sz w:val="24"/>
          <w:szCs w:val="24"/>
          <w:highlight w:val="none"/>
        </w:rPr>
        <w:tab/>
      </w:r>
      <w:r>
        <w:rPr>
          <w:color w:val="auto"/>
          <w:sz w:val="24"/>
          <w:szCs w:val="24"/>
          <w:highlight w:val="none"/>
        </w:rPr>
        <w:t xml:space="preserve">人（盖章）： </w:t>
      </w:r>
      <w:r>
        <w:rPr>
          <w:rFonts w:ascii="Times New Roman" w:eastAsia="Times New Roman"/>
          <w:color w:val="auto"/>
          <w:sz w:val="24"/>
          <w:szCs w:val="24"/>
          <w:highlight w:val="none"/>
          <w:u w:val="single"/>
        </w:rPr>
        <w:tab/>
      </w:r>
    </w:p>
    <w:p>
      <w:pPr>
        <w:pStyle w:val="10"/>
        <w:snapToGrid w:val="0"/>
        <w:spacing w:before="9"/>
        <w:textAlignment w:val="baseline"/>
        <w:rPr>
          <w:rFonts w:ascii="Times New Roman"/>
          <w:color w:val="auto"/>
          <w:sz w:val="24"/>
          <w:szCs w:val="24"/>
          <w:highlight w:val="none"/>
        </w:rPr>
      </w:pPr>
    </w:p>
    <w:p>
      <w:pPr>
        <w:tabs>
          <w:tab w:val="left" w:pos="6754"/>
        </w:tabs>
        <w:snapToGrid w:val="0"/>
        <w:spacing w:before="74"/>
        <w:ind w:left="1779"/>
        <w:textAlignment w:val="baseline"/>
        <w:rPr>
          <w:rFonts w:ascii="Times New Roman" w:eastAsia="Times New Roman"/>
          <w:color w:val="auto"/>
          <w:sz w:val="24"/>
          <w:szCs w:val="24"/>
          <w:highlight w:val="none"/>
        </w:rPr>
      </w:pPr>
      <w:r>
        <w:rPr>
          <w:color w:val="auto"/>
          <w:sz w:val="24"/>
          <w:szCs w:val="24"/>
          <w:highlight w:val="none"/>
        </w:rPr>
        <w:t>法定代表人（亲笔签名或盖章）：</w:t>
      </w:r>
      <w:r>
        <w:rPr>
          <w:rFonts w:ascii="Times New Roman" w:eastAsia="Times New Roman"/>
          <w:color w:val="auto"/>
          <w:sz w:val="24"/>
          <w:szCs w:val="24"/>
          <w:highlight w:val="none"/>
          <w:u w:val="single"/>
        </w:rPr>
        <w:tab/>
      </w:r>
    </w:p>
    <w:p>
      <w:pPr>
        <w:pStyle w:val="10"/>
        <w:snapToGrid w:val="0"/>
        <w:spacing w:before="7"/>
        <w:textAlignment w:val="baseline"/>
        <w:rPr>
          <w:rFonts w:ascii="Times New Roman"/>
          <w:color w:val="auto"/>
          <w:sz w:val="24"/>
          <w:szCs w:val="24"/>
          <w:highlight w:val="none"/>
        </w:rPr>
      </w:pPr>
    </w:p>
    <w:p>
      <w:pPr>
        <w:tabs>
          <w:tab w:val="left" w:pos="6829"/>
        </w:tabs>
        <w:snapToGrid w:val="0"/>
        <w:spacing w:before="74"/>
        <w:ind w:left="1734"/>
        <w:textAlignment w:val="baseline"/>
        <w:rPr>
          <w:rFonts w:ascii="Times New Roman" w:eastAsia="Times New Roman"/>
          <w:color w:val="auto"/>
          <w:sz w:val="24"/>
          <w:szCs w:val="24"/>
          <w:highlight w:val="none"/>
        </w:rPr>
      </w:pPr>
      <w:r>
        <w:rPr>
          <w:color w:val="auto"/>
          <w:sz w:val="24"/>
          <w:szCs w:val="24"/>
          <w:highlight w:val="none"/>
        </w:rPr>
        <w:t>委托代理人（亲笔签名或盖章）</w:t>
      </w:r>
      <w:r>
        <w:rPr>
          <w:color w:val="auto"/>
          <w:w w:val="99"/>
          <w:sz w:val="24"/>
          <w:szCs w:val="24"/>
          <w:highlight w:val="none"/>
        </w:rPr>
        <w:t>：</w:t>
      </w:r>
      <w:r>
        <w:rPr>
          <w:rFonts w:ascii="Times New Roman" w:eastAsia="Times New Roman"/>
          <w:color w:val="auto"/>
          <w:sz w:val="24"/>
          <w:szCs w:val="24"/>
          <w:highlight w:val="none"/>
          <w:u w:val="single"/>
        </w:rPr>
        <w:tab/>
      </w:r>
    </w:p>
    <w:p>
      <w:pPr>
        <w:pStyle w:val="10"/>
        <w:snapToGrid w:val="0"/>
        <w:spacing w:before="9"/>
        <w:textAlignment w:val="baseline"/>
        <w:rPr>
          <w:rFonts w:ascii="Times New Roman"/>
          <w:color w:val="auto"/>
          <w:sz w:val="24"/>
          <w:szCs w:val="24"/>
          <w:highlight w:val="none"/>
        </w:rPr>
      </w:pPr>
    </w:p>
    <w:p>
      <w:pPr>
        <w:tabs>
          <w:tab w:val="left" w:pos="4134"/>
          <w:tab w:val="left" w:pos="5094"/>
          <w:tab w:val="left" w:pos="6054"/>
        </w:tabs>
        <w:snapToGrid w:val="0"/>
        <w:spacing w:before="74"/>
        <w:ind w:left="1734"/>
        <w:textAlignment w:val="baseline"/>
        <w:rPr>
          <w:color w:val="auto"/>
          <w:sz w:val="24"/>
          <w:szCs w:val="24"/>
          <w:highlight w:val="none"/>
        </w:rPr>
      </w:pPr>
      <w:r>
        <w:rPr>
          <w:color w:val="auto"/>
          <w:sz w:val="24"/>
          <w:szCs w:val="24"/>
          <w:highlight w:val="none"/>
        </w:rPr>
        <w:t>委托日期：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snapToGrid w:val="0"/>
        <w:spacing w:before="211"/>
        <w:textAlignment w:val="baseline"/>
        <w:rPr>
          <w:color w:val="auto"/>
          <w:sz w:val="20"/>
          <w:highlight w:val="none"/>
        </w:rPr>
      </w:pPr>
      <w:r>
        <w:rPr>
          <w:color w:val="auto"/>
          <w:highlight w:val="none"/>
        </w:rPr>
        <w:t>附：委托代理人身份证复印件</w:t>
      </w:r>
    </w:p>
    <w:p>
      <w:pPr>
        <w:snapToGrid w:val="0"/>
        <w:textAlignment w:val="baseline"/>
        <w:rPr>
          <w:color w:val="auto"/>
          <w:sz w:val="20"/>
          <w:highlight w:val="none"/>
        </w:rPr>
        <w:sectPr>
          <w:pgSz w:w="11900" w:h="16840"/>
          <w:pgMar w:top="1321" w:right="1179" w:bottom="1219" w:left="1219" w:header="879" w:footer="1020" w:gutter="0"/>
          <w:cols w:space="0" w:num="1"/>
          <w:rtlGutter w:val="0"/>
          <w:docGrid w:linePitch="0" w:charSpace="0"/>
        </w:sectPr>
      </w:pPr>
    </w:p>
    <w:p>
      <w:pPr>
        <w:snapToGrid w:val="0"/>
        <w:spacing w:line="532" w:lineRule="exact"/>
        <w:ind w:right="36"/>
        <w:jc w:val="center"/>
        <w:textAlignment w:val="baseline"/>
        <w:rPr>
          <w:rFonts w:ascii="微软雅黑" w:eastAsia="微软雅黑"/>
          <w:b/>
          <w:color w:val="auto"/>
          <w:sz w:val="32"/>
          <w:highlight w:val="none"/>
        </w:rPr>
      </w:pPr>
      <w:bookmarkStart w:id="47" w:name="_TOC_250010"/>
      <w:bookmarkEnd w:id="47"/>
      <w:r>
        <w:rPr>
          <w:rFonts w:hint="eastAsia" w:ascii="微软雅黑" w:eastAsia="微软雅黑"/>
          <w:b/>
          <w:color w:val="auto"/>
          <w:sz w:val="32"/>
          <w:highlight w:val="none"/>
        </w:rPr>
        <w:t>3、投标人基本情况表</w:t>
      </w:r>
    </w:p>
    <w:p>
      <w:pPr>
        <w:pStyle w:val="10"/>
        <w:snapToGrid w:val="0"/>
        <w:spacing w:before="13"/>
        <w:textAlignment w:val="baseline"/>
        <w:rPr>
          <w:rFonts w:ascii="微软雅黑"/>
          <w:b/>
          <w:color w:val="auto"/>
          <w:sz w:val="11"/>
          <w:highlight w:val="none"/>
        </w:rPr>
      </w:pPr>
    </w:p>
    <w:tbl>
      <w:tblPr>
        <w:tblStyle w:val="26"/>
        <w:tblW w:w="9000" w:type="dxa"/>
        <w:tblInd w:w="2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0"/>
        <w:gridCol w:w="1260"/>
        <w:gridCol w:w="2011"/>
        <w:gridCol w:w="1409"/>
        <w:gridCol w:w="1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pPr>
              <w:pStyle w:val="43"/>
              <w:snapToGrid w:val="0"/>
              <w:spacing w:before="208"/>
              <w:ind w:left="107"/>
              <w:textAlignment w:val="baseline"/>
              <w:rPr>
                <w:color w:val="auto"/>
                <w:sz w:val="24"/>
                <w:highlight w:val="none"/>
              </w:rPr>
            </w:pPr>
            <w:r>
              <w:rPr>
                <w:color w:val="auto"/>
                <w:sz w:val="24"/>
                <w:highlight w:val="none"/>
              </w:rPr>
              <w:t>企业名称</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tcPr>
          <w:p>
            <w:pPr>
              <w:pStyle w:val="43"/>
              <w:snapToGrid w:val="0"/>
              <w:spacing w:before="208"/>
              <w:ind w:left="107"/>
              <w:textAlignment w:val="baseline"/>
              <w:rPr>
                <w:color w:val="auto"/>
                <w:sz w:val="24"/>
                <w:highlight w:val="none"/>
              </w:rPr>
            </w:pPr>
            <w:r>
              <w:rPr>
                <w:color w:val="auto"/>
                <w:sz w:val="24"/>
                <w:highlight w:val="none"/>
              </w:rPr>
              <w:t>注册地址</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注册资金</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pPr>
              <w:pStyle w:val="43"/>
              <w:snapToGrid w:val="0"/>
              <w:spacing w:before="208"/>
              <w:ind w:left="107"/>
              <w:textAlignment w:val="baseline"/>
              <w:rPr>
                <w:color w:val="auto"/>
                <w:sz w:val="24"/>
                <w:highlight w:val="none"/>
              </w:rPr>
            </w:pPr>
            <w:r>
              <w:rPr>
                <w:color w:val="auto"/>
                <w:sz w:val="24"/>
                <w:highlight w:val="none"/>
              </w:rPr>
              <w:t>法定代表人</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职</w:t>
            </w:r>
            <w:r>
              <w:rPr>
                <w:color w:val="auto"/>
                <w:sz w:val="24"/>
                <w:highlight w:val="none"/>
              </w:rPr>
              <w:tab/>
            </w:r>
            <w:r>
              <w:rPr>
                <w:color w:val="auto"/>
                <w:sz w:val="24"/>
                <w:highlight w:val="none"/>
              </w:rPr>
              <w:t>务</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tcPr>
          <w:p>
            <w:pPr>
              <w:pStyle w:val="43"/>
              <w:snapToGrid w:val="0"/>
              <w:spacing w:before="208"/>
              <w:ind w:left="107"/>
              <w:textAlignment w:val="baseline"/>
              <w:rPr>
                <w:color w:val="auto"/>
                <w:sz w:val="24"/>
                <w:highlight w:val="none"/>
              </w:rPr>
            </w:pPr>
            <w:r>
              <w:rPr>
                <w:color w:val="auto"/>
                <w:sz w:val="24"/>
                <w:highlight w:val="none"/>
              </w:rPr>
              <w:t>营业执照号</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企业性质</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pPr>
              <w:pStyle w:val="43"/>
              <w:snapToGrid w:val="0"/>
              <w:spacing w:before="208"/>
              <w:ind w:left="107"/>
              <w:textAlignment w:val="baseline"/>
              <w:rPr>
                <w:color w:val="auto"/>
                <w:sz w:val="24"/>
                <w:highlight w:val="none"/>
              </w:rPr>
            </w:pPr>
            <w:r>
              <w:rPr>
                <w:color w:val="auto"/>
                <w:sz w:val="24"/>
                <w:highlight w:val="none"/>
              </w:rPr>
              <w:t>初次注册日期</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有效期至</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2340" w:type="dxa"/>
          </w:tcPr>
          <w:p>
            <w:pPr>
              <w:pStyle w:val="43"/>
              <w:snapToGrid w:val="0"/>
              <w:spacing w:before="7"/>
              <w:textAlignment w:val="baseline"/>
              <w:rPr>
                <w:rFonts w:ascii="微软雅黑"/>
                <w:b/>
                <w:color w:val="auto"/>
                <w:highlight w:val="none"/>
              </w:rPr>
            </w:pPr>
          </w:p>
          <w:p>
            <w:pPr>
              <w:pStyle w:val="43"/>
              <w:snapToGrid w:val="0"/>
              <w:ind w:left="107"/>
              <w:textAlignment w:val="baseline"/>
              <w:rPr>
                <w:color w:val="auto"/>
                <w:sz w:val="24"/>
                <w:highlight w:val="none"/>
              </w:rPr>
            </w:pPr>
            <w:r>
              <w:rPr>
                <w:color w:val="auto"/>
                <w:sz w:val="24"/>
                <w:highlight w:val="none"/>
              </w:rPr>
              <w:t>经营范围</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2340" w:type="dxa"/>
          </w:tcPr>
          <w:p>
            <w:pPr>
              <w:pStyle w:val="43"/>
              <w:snapToGrid w:val="0"/>
              <w:spacing w:before="160"/>
              <w:ind w:left="107"/>
              <w:textAlignment w:val="baseline"/>
              <w:rPr>
                <w:color w:val="auto"/>
                <w:sz w:val="24"/>
                <w:highlight w:val="none"/>
              </w:rPr>
            </w:pPr>
            <w:r>
              <w:rPr>
                <w:color w:val="auto"/>
                <w:sz w:val="24"/>
                <w:highlight w:val="none"/>
              </w:rPr>
              <w:t>企业的资质等级（如</w:t>
            </w:r>
          </w:p>
          <w:p>
            <w:pPr>
              <w:pStyle w:val="43"/>
              <w:snapToGrid w:val="0"/>
              <w:spacing w:before="194"/>
              <w:ind w:left="107"/>
              <w:textAlignment w:val="baseline"/>
              <w:rPr>
                <w:color w:val="auto"/>
                <w:sz w:val="24"/>
                <w:highlight w:val="none"/>
              </w:rPr>
            </w:pPr>
            <w:r>
              <w:rPr>
                <w:color w:val="auto"/>
                <w:sz w:val="24"/>
                <w:highlight w:val="none"/>
              </w:rPr>
              <w:t>有）</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2340" w:type="dxa"/>
          </w:tcPr>
          <w:p>
            <w:pPr>
              <w:pStyle w:val="43"/>
              <w:snapToGrid w:val="0"/>
              <w:spacing w:line="500" w:lineRule="exact"/>
              <w:ind w:left="107" w:right="98"/>
              <w:textAlignment w:val="baseline"/>
              <w:rPr>
                <w:color w:val="auto"/>
                <w:sz w:val="24"/>
                <w:highlight w:val="none"/>
              </w:rPr>
            </w:pPr>
            <w:r>
              <w:rPr>
                <w:color w:val="auto"/>
                <w:sz w:val="24"/>
                <w:highlight w:val="none"/>
              </w:rPr>
              <w:t>企业的质量体系认证（如有）</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pPr>
              <w:pStyle w:val="43"/>
              <w:snapToGrid w:val="0"/>
              <w:spacing w:before="208"/>
              <w:ind w:left="107"/>
              <w:textAlignment w:val="baseline"/>
              <w:rPr>
                <w:color w:val="auto"/>
                <w:sz w:val="24"/>
                <w:highlight w:val="none"/>
              </w:rPr>
            </w:pPr>
            <w:r>
              <w:rPr>
                <w:color w:val="auto"/>
                <w:sz w:val="24"/>
                <w:highlight w:val="none"/>
              </w:rPr>
              <w:t>开户银行</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账</w:t>
            </w:r>
            <w:r>
              <w:rPr>
                <w:color w:val="auto"/>
                <w:sz w:val="24"/>
                <w:highlight w:val="none"/>
              </w:rPr>
              <w:tab/>
            </w:r>
            <w:r>
              <w:rPr>
                <w:color w:val="auto"/>
                <w:sz w:val="24"/>
                <w:highlight w:val="none"/>
              </w:rPr>
              <w:t>号</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vMerge w:val="restart"/>
          </w:tcPr>
          <w:p>
            <w:pPr>
              <w:pStyle w:val="43"/>
              <w:snapToGrid w:val="0"/>
              <w:spacing w:before="14"/>
              <w:textAlignment w:val="baseline"/>
              <w:rPr>
                <w:rFonts w:ascii="微软雅黑"/>
                <w:b/>
                <w:color w:val="auto"/>
                <w:sz w:val="26"/>
                <w:highlight w:val="none"/>
              </w:rPr>
            </w:pPr>
          </w:p>
          <w:p>
            <w:pPr>
              <w:pStyle w:val="43"/>
              <w:snapToGrid w:val="0"/>
              <w:spacing w:before="1"/>
              <w:ind w:left="107"/>
              <w:textAlignment w:val="baseline"/>
              <w:rPr>
                <w:color w:val="auto"/>
                <w:sz w:val="24"/>
                <w:highlight w:val="none"/>
              </w:rPr>
            </w:pPr>
            <w:r>
              <w:rPr>
                <w:color w:val="auto"/>
                <w:sz w:val="24"/>
                <w:highlight w:val="none"/>
              </w:rPr>
              <w:t>联系方式</w:t>
            </w:r>
          </w:p>
        </w:tc>
        <w:tc>
          <w:tcPr>
            <w:tcW w:w="1260" w:type="dxa"/>
          </w:tcPr>
          <w:p>
            <w:pPr>
              <w:pStyle w:val="43"/>
              <w:snapToGrid w:val="0"/>
              <w:spacing w:before="208"/>
              <w:ind w:left="107"/>
              <w:textAlignment w:val="baseline"/>
              <w:rPr>
                <w:color w:val="auto"/>
                <w:sz w:val="24"/>
                <w:highlight w:val="none"/>
              </w:rPr>
            </w:pPr>
            <w:r>
              <w:rPr>
                <w:color w:val="auto"/>
                <w:sz w:val="24"/>
                <w:highlight w:val="none"/>
              </w:rPr>
              <w:t>联系人</w:t>
            </w:r>
          </w:p>
        </w:tc>
        <w:tc>
          <w:tcPr>
            <w:tcW w:w="2011" w:type="dxa"/>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电</w:t>
            </w:r>
            <w:r>
              <w:rPr>
                <w:color w:val="auto"/>
                <w:sz w:val="24"/>
                <w:highlight w:val="none"/>
              </w:rPr>
              <w:tab/>
            </w:r>
            <w:r>
              <w:rPr>
                <w:color w:val="auto"/>
                <w:sz w:val="24"/>
                <w:highlight w:val="none"/>
              </w:rPr>
              <w:t>话</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vMerge w:val="continue"/>
            <w:tcBorders>
              <w:top w:val="nil"/>
            </w:tcBorders>
          </w:tcPr>
          <w:p>
            <w:pPr>
              <w:snapToGrid w:val="0"/>
              <w:textAlignment w:val="baseline"/>
              <w:rPr>
                <w:color w:val="auto"/>
                <w:sz w:val="2"/>
                <w:szCs w:val="2"/>
                <w:highlight w:val="none"/>
              </w:rPr>
            </w:pPr>
          </w:p>
        </w:tc>
        <w:tc>
          <w:tcPr>
            <w:tcW w:w="1260" w:type="dxa"/>
          </w:tcPr>
          <w:p>
            <w:pPr>
              <w:pStyle w:val="43"/>
              <w:tabs>
                <w:tab w:val="left" w:pos="587"/>
              </w:tabs>
              <w:snapToGrid w:val="0"/>
              <w:spacing w:before="208"/>
              <w:ind w:left="107"/>
              <w:textAlignment w:val="baseline"/>
              <w:rPr>
                <w:color w:val="auto"/>
                <w:sz w:val="24"/>
                <w:highlight w:val="none"/>
              </w:rPr>
            </w:pPr>
            <w:r>
              <w:rPr>
                <w:color w:val="auto"/>
                <w:sz w:val="24"/>
                <w:highlight w:val="none"/>
              </w:rPr>
              <w:t>传</w:t>
            </w:r>
            <w:r>
              <w:rPr>
                <w:color w:val="auto"/>
                <w:sz w:val="24"/>
                <w:highlight w:val="none"/>
              </w:rPr>
              <w:tab/>
            </w:r>
            <w:r>
              <w:rPr>
                <w:color w:val="auto"/>
                <w:sz w:val="24"/>
                <w:highlight w:val="none"/>
              </w:rPr>
              <w:t>真</w:t>
            </w:r>
          </w:p>
        </w:tc>
        <w:tc>
          <w:tcPr>
            <w:tcW w:w="2011" w:type="dxa"/>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电子邮箱</w:t>
            </w:r>
          </w:p>
        </w:tc>
        <w:tc>
          <w:tcPr>
            <w:tcW w:w="1980" w:type="dxa"/>
          </w:tcPr>
          <w:p>
            <w:pPr>
              <w:pStyle w:val="43"/>
              <w:snapToGrid w:val="0"/>
              <w:textAlignment w:val="baseline"/>
              <w:rPr>
                <w:rFonts w:ascii="Times New Roman"/>
                <w:color w:val="auto"/>
                <w:highlight w:val="none"/>
              </w:rPr>
            </w:pPr>
          </w:p>
        </w:tc>
      </w:tr>
    </w:tbl>
    <w:p>
      <w:pPr>
        <w:pStyle w:val="10"/>
        <w:snapToGrid w:val="0"/>
        <w:spacing w:before="17"/>
        <w:textAlignment w:val="baseline"/>
        <w:rPr>
          <w:rFonts w:ascii="微软雅黑"/>
          <w:b/>
          <w:color w:val="auto"/>
          <w:sz w:val="35"/>
          <w:highlight w:val="none"/>
        </w:rPr>
      </w:pP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投标人（盖章）：</w:t>
      </w: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法定代表人或委托代理人（亲笔签名或盖章）：</w:t>
      </w:r>
    </w:p>
    <w:p>
      <w:pPr>
        <w:tabs>
          <w:tab w:val="left" w:pos="6099"/>
          <w:tab w:val="left" w:pos="6699"/>
        </w:tabs>
        <w:snapToGrid w:val="0"/>
        <w:spacing w:before="198" w:line="480" w:lineRule="auto"/>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0"/>
          <w:highlight w:val="none"/>
        </w:rPr>
      </w:pPr>
    </w:p>
    <w:p>
      <w:pPr>
        <w:pStyle w:val="10"/>
        <w:snapToGrid w:val="0"/>
        <w:spacing w:before="9"/>
        <w:textAlignment w:val="baseline"/>
        <w:rPr>
          <w:color w:val="auto"/>
          <w:sz w:val="14"/>
          <w:highlight w:val="none"/>
        </w:rPr>
      </w:pPr>
    </w:p>
    <w:p>
      <w:pPr>
        <w:snapToGrid w:val="0"/>
        <w:spacing w:line="360" w:lineRule="auto"/>
        <w:ind w:left="580"/>
        <w:textAlignment w:val="baseline"/>
        <w:rPr>
          <w:bCs/>
          <w:color w:val="auto"/>
          <w:sz w:val="21"/>
          <w:szCs w:val="21"/>
          <w:highlight w:val="none"/>
        </w:rPr>
      </w:pPr>
      <w:r>
        <w:rPr>
          <w:rFonts w:hint="eastAsia"/>
          <w:bCs/>
          <w:color w:val="auto"/>
          <w:sz w:val="21"/>
          <w:szCs w:val="21"/>
          <w:highlight w:val="none"/>
        </w:rPr>
        <w:t>说明：</w:t>
      </w:r>
    </w:p>
    <w:p>
      <w:pPr>
        <w:snapToGrid w:val="0"/>
        <w:spacing w:line="360" w:lineRule="auto"/>
        <w:ind w:left="880" w:leftChars="400"/>
        <w:textAlignment w:val="baseline"/>
        <w:rPr>
          <w:bCs/>
          <w:color w:val="auto"/>
          <w:sz w:val="21"/>
          <w:szCs w:val="21"/>
          <w:highlight w:val="none"/>
        </w:rPr>
      </w:pPr>
      <w:r>
        <w:rPr>
          <w:rFonts w:hint="eastAsia"/>
          <w:bCs/>
          <w:color w:val="auto"/>
          <w:sz w:val="21"/>
          <w:szCs w:val="21"/>
          <w:highlight w:val="none"/>
        </w:rPr>
        <w:t>1、所有投标人都须填写此表。</w:t>
      </w:r>
    </w:p>
    <w:p>
      <w:pPr>
        <w:snapToGrid w:val="0"/>
        <w:spacing w:before="85" w:line="360" w:lineRule="auto"/>
        <w:ind w:left="880" w:leftChars="400"/>
        <w:textAlignment w:val="baseline"/>
        <w:rPr>
          <w:bCs/>
          <w:color w:val="auto"/>
          <w:sz w:val="21"/>
          <w:szCs w:val="21"/>
          <w:highlight w:val="none"/>
        </w:rPr>
      </w:pPr>
      <w:r>
        <w:rPr>
          <w:rFonts w:hint="eastAsia"/>
          <w:bCs/>
          <w:color w:val="auto"/>
          <w:sz w:val="21"/>
          <w:szCs w:val="21"/>
          <w:highlight w:val="none"/>
        </w:rPr>
        <w:t>2、投标人应附上营业执照等证明文件扫描件或复印件（加盖投标人公章</w:t>
      </w:r>
      <w:r>
        <w:rPr>
          <w:rFonts w:hint="eastAsia"/>
          <w:bCs/>
          <w:color w:val="auto"/>
          <w:spacing w:val="-118"/>
          <w:sz w:val="21"/>
          <w:szCs w:val="21"/>
          <w:highlight w:val="none"/>
        </w:rPr>
        <w:t>）</w:t>
      </w:r>
      <w:r>
        <w:rPr>
          <w:rFonts w:hint="eastAsia"/>
          <w:bCs/>
          <w:color w:val="auto"/>
          <w:sz w:val="21"/>
          <w:szCs w:val="21"/>
          <w:highlight w:val="none"/>
        </w:rPr>
        <w:t>。无相关证明的在评审时将不予确认。</w:t>
      </w:r>
    </w:p>
    <w:p>
      <w:pPr>
        <w:snapToGrid w:val="0"/>
        <w:spacing w:line="432" w:lineRule="exact"/>
        <w:textAlignment w:val="baseline"/>
        <w:rPr>
          <w:rFonts w:ascii="微软雅黑" w:eastAsia="微软雅黑"/>
          <w:color w:val="auto"/>
          <w:sz w:val="24"/>
          <w:highlight w:val="none"/>
        </w:rPr>
        <w:sectPr>
          <w:pgSz w:w="11900" w:h="16840"/>
          <w:pgMar w:top="1321" w:right="1179" w:bottom="1219" w:left="1219" w:header="879" w:footer="1020" w:gutter="0"/>
          <w:cols w:space="0" w:num="1"/>
          <w:rtlGutter w:val="0"/>
          <w:docGrid w:linePitch="0" w:charSpace="0"/>
        </w:sectPr>
      </w:pPr>
    </w:p>
    <w:p>
      <w:pPr>
        <w:pStyle w:val="10"/>
        <w:snapToGrid w:val="0"/>
        <w:spacing w:before="10"/>
        <w:textAlignment w:val="baseline"/>
        <w:rPr>
          <w:rFonts w:ascii="微软雅黑"/>
          <w:b/>
          <w:color w:val="auto"/>
          <w:sz w:val="8"/>
          <w:highlight w:val="none"/>
        </w:rPr>
      </w:pPr>
    </w:p>
    <w:p>
      <w:pPr>
        <w:snapToGrid w:val="0"/>
        <w:spacing w:line="543" w:lineRule="exact"/>
        <w:ind w:right="593"/>
        <w:jc w:val="center"/>
        <w:textAlignment w:val="baseline"/>
        <w:rPr>
          <w:rFonts w:ascii="微软雅黑" w:eastAsia="微软雅黑"/>
          <w:b/>
          <w:color w:val="auto"/>
          <w:sz w:val="32"/>
          <w:highlight w:val="none"/>
        </w:rPr>
      </w:pPr>
      <w:bookmarkStart w:id="48" w:name="_TOC_250006"/>
      <w:bookmarkEnd w:id="48"/>
      <w:bookmarkStart w:id="49" w:name="_TOC_250009"/>
      <w:bookmarkEnd w:id="49"/>
      <w:bookmarkStart w:id="50" w:name="_TOC_250007"/>
      <w:bookmarkEnd w:id="50"/>
      <w:r>
        <w:rPr>
          <w:rFonts w:hint="eastAsia" w:ascii="微软雅黑" w:eastAsia="微软雅黑"/>
          <w:b/>
          <w:color w:val="auto"/>
          <w:sz w:val="32"/>
          <w:highlight w:val="none"/>
          <w:lang w:val="en-US"/>
        </w:rPr>
        <w:t>4</w:t>
      </w:r>
      <w:r>
        <w:rPr>
          <w:rFonts w:hint="eastAsia" w:ascii="微软雅黑" w:eastAsia="微软雅黑"/>
          <w:b/>
          <w:color w:val="auto"/>
          <w:sz w:val="32"/>
          <w:highlight w:val="none"/>
        </w:rPr>
        <w:t>、投标人类似业绩一览表</w:t>
      </w:r>
    </w:p>
    <w:p>
      <w:pPr>
        <w:pStyle w:val="10"/>
        <w:snapToGrid w:val="0"/>
        <w:spacing w:before="8"/>
        <w:textAlignment w:val="baseline"/>
        <w:rPr>
          <w:rFonts w:ascii="微软雅黑"/>
          <w:b/>
          <w:color w:val="auto"/>
          <w:sz w:val="23"/>
          <w:highlight w:val="none"/>
        </w:rPr>
      </w:pPr>
    </w:p>
    <w:tbl>
      <w:tblPr>
        <w:tblStyle w:val="26"/>
        <w:tblW w:w="8933" w:type="dxa"/>
        <w:tblInd w:w="15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2834"/>
        <w:gridCol w:w="1464"/>
        <w:gridCol w:w="2362"/>
        <w:gridCol w:w="14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99"/>
              <w:ind w:left="196" w:right="187"/>
              <w:jc w:val="center"/>
              <w:textAlignment w:val="baseline"/>
              <w:rPr>
                <w:color w:val="auto"/>
                <w:sz w:val="21"/>
                <w:highlight w:val="none"/>
              </w:rPr>
            </w:pPr>
            <w:r>
              <w:rPr>
                <w:color w:val="auto"/>
                <w:sz w:val="21"/>
                <w:highlight w:val="none"/>
              </w:rPr>
              <w:t>序号</w:t>
            </w:r>
          </w:p>
        </w:tc>
        <w:tc>
          <w:tcPr>
            <w:tcW w:w="2834" w:type="dxa"/>
          </w:tcPr>
          <w:p>
            <w:pPr>
              <w:pStyle w:val="43"/>
              <w:snapToGrid w:val="0"/>
              <w:spacing w:before="99"/>
              <w:ind w:left="974" w:right="969"/>
              <w:jc w:val="center"/>
              <w:textAlignment w:val="baseline"/>
              <w:rPr>
                <w:color w:val="auto"/>
                <w:sz w:val="21"/>
                <w:highlight w:val="none"/>
              </w:rPr>
            </w:pPr>
            <w:r>
              <w:rPr>
                <w:color w:val="auto"/>
                <w:sz w:val="21"/>
                <w:highlight w:val="none"/>
              </w:rPr>
              <w:t>项目名称</w:t>
            </w:r>
          </w:p>
        </w:tc>
        <w:tc>
          <w:tcPr>
            <w:tcW w:w="1464" w:type="dxa"/>
          </w:tcPr>
          <w:p>
            <w:pPr>
              <w:pStyle w:val="43"/>
              <w:snapToGrid w:val="0"/>
              <w:spacing w:before="99"/>
              <w:ind w:left="312"/>
              <w:textAlignment w:val="baseline"/>
              <w:rPr>
                <w:color w:val="auto"/>
                <w:sz w:val="21"/>
                <w:highlight w:val="none"/>
              </w:rPr>
            </w:pPr>
            <w:r>
              <w:rPr>
                <w:color w:val="auto"/>
                <w:sz w:val="21"/>
                <w:highlight w:val="none"/>
              </w:rPr>
              <w:t>合同金额</w:t>
            </w:r>
          </w:p>
        </w:tc>
        <w:tc>
          <w:tcPr>
            <w:tcW w:w="2362" w:type="dxa"/>
          </w:tcPr>
          <w:p>
            <w:pPr>
              <w:pStyle w:val="43"/>
              <w:snapToGrid w:val="0"/>
              <w:spacing w:before="99"/>
              <w:ind w:left="761"/>
              <w:textAlignment w:val="baseline"/>
              <w:rPr>
                <w:color w:val="auto"/>
                <w:sz w:val="21"/>
                <w:highlight w:val="none"/>
              </w:rPr>
            </w:pPr>
            <w:r>
              <w:rPr>
                <w:color w:val="auto"/>
                <w:sz w:val="21"/>
                <w:highlight w:val="none"/>
              </w:rPr>
              <w:t>完成时间</w:t>
            </w:r>
          </w:p>
        </w:tc>
        <w:tc>
          <w:tcPr>
            <w:tcW w:w="1419" w:type="dxa"/>
          </w:tcPr>
          <w:p>
            <w:pPr>
              <w:pStyle w:val="43"/>
              <w:snapToGrid w:val="0"/>
              <w:spacing w:before="99"/>
              <w:ind w:left="288"/>
              <w:textAlignment w:val="baseline"/>
              <w:rPr>
                <w:color w:val="auto"/>
                <w:sz w:val="21"/>
                <w:highlight w:val="none"/>
              </w:rPr>
            </w:pPr>
            <w:r>
              <w:rPr>
                <w:color w:val="auto"/>
                <w:sz w:val="21"/>
                <w:highlight w:val="none"/>
              </w:rPr>
              <w:t>完成质量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1</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2</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3</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4</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854" w:type="dxa"/>
          </w:tcPr>
          <w:p>
            <w:pPr>
              <w:pStyle w:val="43"/>
              <w:snapToGrid w:val="0"/>
              <w:spacing w:before="113"/>
              <w:ind w:left="5"/>
              <w:jc w:val="center"/>
              <w:textAlignment w:val="baseline"/>
              <w:rPr>
                <w:rFonts w:ascii="Times New Roman"/>
                <w:color w:val="auto"/>
                <w:sz w:val="21"/>
                <w:highlight w:val="none"/>
              </w:rPr>
            </w:pPr>
            <w:r>
              <w:rPr>
                <w:rFonts w:ascii="Times New Roman"/>
                <w:color w:val="auto"/>
                <w:sz w:val="21"/>
                <w:highlight w:val="none"/>
              </w:rPr>
              <w:t>5</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6</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7</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8</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9</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54" w:type="dxa"/>
          </w:tcPr>
          <w:p>
            <w:pPr>
              <w:pStyle w:val="43"/>
              <w:snapToGrid w:val="0"/>
              <w:spacing w:before="111"/>
              <w:ind w:left="192" w:right="187"/>
              <w:jc w:val="center"/>
              <w:textAlignment w:val="baseline"/>
              <w:rPr>
                <w:rFonts w:ascii="Times New Roman"/>
                <w:color w:val="auto"/>
                <w:sz w:val="21"/>
                <w:highlight w:val="none"/>
              </w:rPr>
            </w:pPr>
            <w:r>
              <w:rPr>
                <w:rFonts w:ascii="Times New Roman"/>
                <w:color w:val="auto"/>
                <w:sz w:val="21"/>
                <w:highlight w:val="none"/>
              </w:rPr>
              <w:t>10</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854" w:type="dxa"/>
          </w:tcPr>
          <w:p>
            <w:pPr>
              <w:pStyle w:val="43"/>
              <w:snapToGrid w:val="0"/>
              <w:spacing w:before="102"/>
              <w:ind w:left="196" w:right="187"/>
              <w:jc w:val="center"/>
              <w:textAlignment w:val="baseline"/>
              <w:rPr>
                <w:color w:val="auto"/>
                <w:sz w:val="21"/>
                <w:highlight w:val="none"/>
              </w:rPr>
            </w:pPr>
            <w:r>
              <w:rPr>
                <w:color w:val="auto"/>
                <w:sz w:val="21"/>
                <w:highlight w:val="none"/>
              </w:rPr>
              <w:t>……</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bl>
    <w:p>
      <w:pPr>
        <w:pStyle w:val="10"/>
        <w:snapToGrid w:val="0"/>
        <w:textAlignment w:val="baseline"/>
        <w:rPr>
          <w:rFonts w:ascii="微软雅黑"/>
          <w:b/>
          <w:color w:val="auto"/>
          <w:sz w:val="20"/>
          <w:highlight w:val="none"/>
        </w:rPr>
      </w:pPr>
    </w:p>
    <w:p>
      <w:pPr>
        <w:pStyle w:val="10"/>
        <w:snapToGrid w:val="0"/>
        <w:textAlignment w:val="baseline"/>
        <w:rPr>
          <w:rFonts w:ascii="微软雅黑"/>
          <w:b/>
          <w:color w:val="auto"/>
          <w:sz w:val="20"/>
          <w:highlight w:val="none"/>
        </w:rPr>
      </w:pPr>
    </w:p>
    <w:p>
      <w:pPr>
        <w:pStyle w:val="10"/>
        <w:snapToGrid w:val="0"/>
        <w:spacing w:before="17"/>
        <w:textAlignment w:val="baseline"/>
        <w:rPr>
          <w:rFonts w:ascii="微软雅黑"/>
          <w:b/>
          <w:color w:val="auto"/>
          <w:sz w:val="29"/>
          <w:highlight w:val="none"/>
        </w:rPr>
      </w:pP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法定代表人或委托代理人（亲笔签名或盖章）：</w:t>
      </w:r>
    </w:p>
    <w:p>
      <w:pPr>
        <w:pStyle w:val="10"/>
        <w:snapToGrid w:val="0"/>
        <w:textAlignment w:val="baseline"/>
        <w:rPr>
          <w:color w:val="auto"/>
          <w:sz w:val="24"/>
          <w:szCs w:val="24"/>
          <w:highlight w:val="none"/>
        </w:rPr>
      </w:pPr>
    </w:p>
    <w:p>
      <w:pPr>
        <w:pStyle w:val="10"/>
        <w:snapToGrid w:val="0"/>
        <w:spacing w:before="4"/>
        <w:textAlignment w:val="baseline"/>
        <w:rPr>
          <w:color w:val="auto"/>
          <w:sz w:val="24"/>
          <w:szCs w:val="24"/>
          <w:highlight w:val="none"/>
        </w:rPr>
      </w:pPr>
    </w:p>
    <w:p>
      <w:pPr>
        <w:tabs>
          <w:tab w:val="left" w:pos="6459"/>
          <w:tab w:val="left" w:pos="7179"/>
        </w:tabs>
        <w:snapToGrid w:val="0"/>
        <w:spacing w:before="66"/>
        <w:ind w:left="586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4"/>
          <w:highlight w:val="none"/>
        </w:rPr>
      </w:pPr>
    </w:p>
    <w:p>
      <w:pPr>
        <w:pStyle w:val="10"/>
        <w:snapToGrid w:val="0"/>
        <w:spacing w:before="4"/>
        <w:textAlignment w:val="baseline"/>
        <w:rPr>
          <w:color w:val="auto"/>
          <w:sz w:val="26"/>
          <w:highlight w:val="none"/>
        </w:rPr>
      </w:pPr>
    </w:p>
    <w:p>
      <w:pPr>
        <w:snapToGrid w:val="0"/>
        <w:spacing w:before="1"/>
        <w:ind w:left="580"/>
        <w:textAlignment w:val="baseline"/>
        <w:rPr>
          <w:color w:val="auto"/>
          <w:sz w:val="20"/>
          <w:highlight w:val="none"/>
        </w:rPr>
        <w:sectPr>
          <w:pgSz w:w="11900" w:h="16840"/>
          <w:pgMar w:top="1321" w:right="1179" w:bottom="1219" w:left="1219" w:header="879" w:footer="1020" w:gutter="0"/>
          <w:cols w:space="0" w:num="1"/>
          <w:rtlGutter w:val="0"/>
          <w:docGrid w:linePitch="0" w:charSpace="0"/>
        </w:sectPr>
      </w:pPr>
      <w:r>
        <w:rPr>
          <w:color w:val="auto"/>
          <w:highlight w:val="none"/>
        </w:rPr>
        <w:t>说明：每个项目须提供合同</w:t>
      </w:r>
      <w:r>
        <w:rPr>
          <w:rFonts w:hint="eastAsia"/>
          <w:color w:val="auto"/>
          <w:highlight w:val="none"/>
          <w:lang w:val="en-US"/>
        </w:rPr>
        <w:t>原件</w:t>
      </w:r>
      <w:r>
        <w:rPr>
          <w:color w:val="auto"/>
          <w:highlight w:val="none"/>
        </w:rPr>
        <w:t>，无相关</w:t>
      </w:r>
      <w:r>
        <w:rPr>
          <w:rFonts w:hint="eastAsia"/>
          <w:color w:val="auto"/>
          <w:highlight w:val="none"/>
          <w:lang w:val="en-US"/>
        </w:rPr>
        <w:t>合同原件</w:t>
      </w:r>
      <w:r>
        <w:rPr>
          <w:color w:val="auto"/>
          <w:highlight w:val="none"/>
        </w:rPr>
        <w:t>的在评审时将不予确认。</w:t>
      </w:r>
      <w:bookmarkStart w:id="51" w:name="_TOC_250005"/>
      <w:bookmarkEnd w:id="51"/>
    </w:p>
    <w:p>
      <w:pPr>
        <w:snapToGrid w:val="0"/>
        <w:spacing w:before="38"/>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二、技术标部分格式</w:t>
      </w:r>
    </w:p>
    <w:p>
      <w:p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5、</w:t>
      </w:r>
      <w:r>
        <w:rPr>
          <w:rFonts w:hint="eastAsia" w:ascii="微软雅黑" w:eastAsia="微软雅黑"/>
          <w:b/>
          <w:color w:val="auto"/>
          <w:sz w:val="32"/>
          <w:highlight w:val="none"/>
        </w:rPr>
        <w:t>投标设备技术性能指标的响应情况及详细描述</w:t>
      </w:r>
    </w:p>
    <w:p>
      <w:pPr>
        <w:snapToGrid w:val="0"/>
        <w:spacing w:line="400" w:lineRule="exact"/>
        <w:ind w:right="-440"/>
        <w:textAlignment w:val="baseline"/>
        <w:rPr>
          <w:color w:val="auto"/>
          <w:sz w:val="36"/>
          <w:szCs w:val="36"/>
          <w:highlight w:val="none"/>
          <w:lang w:val="en-US"/>
        </w:rPr>
      </w:pPr>
    </w:p>
    <w:p>
      <w:pPr>
        <w:snapToGrid w:val="0"/>
        <w:spacing w:line="400" w:lineRule="exact"/>
        <w:ind w:right="-440"/>
        <w:jc w:val="center"/>
        <w:textAlignment w:val="baseline"/>
        <w:rPr>
          <w:color w:val="auto"/>
          <w:sz w:val="24"/>
          <w:szCs w:val="24"/>
          <w:highlight w:val="none"/>
          <w:lang w:val="en-US"/>
        </w:rPr>
      </w:pPr>
      <w:r>
        <w:rPr>
          <w:rFonts w:hint="eastAsia"/>
          <w:color w:val="auto"/>
          <w:sz w:val="24"/>
          <w:szCs w:val="24"/>
          <w:highlight w:val="none"/>
          <w:lang w:val="en-US"/>
        </w:rPr>
        <w:t>(投标人必须满足第五章技术要求及说明）</w:t>
      </w:r>
    </w:p>
    <w:p>
      <w:pPr>
        <w:snapToGrid w:val="0"/>
        <w:spacing w:line="400" w:lineRule="exact"/>
        <w:ind w:right="-440"/>
        <w:textAlignment w:val="baseline"/>
        <w:rPr>
          <w:color w:val="auto"/>
          <w:sz w:val="32"/>
          <w:highlight w:val="none"/>
        </w:rPr>
      </w:pPr>
    </w:p>
    <w:p>
      <w:pPr>
        <w:snapToGrid w:val="0"/>
        <w:spacing w:line="543" w:lineRule="exact"/>
        <w:ind w:right="31"/>
        <w:textAlignment w:val="baseline"/>
        <w:rPr>
          <w:rFonts w:ascii="微软雅黑" w:eastAsia="微软雅黑"/>
          <w:b/>
          <w:color w:val="auto"/>
          <w:sz w:val="32"/>
          <w:highlight w:val="none"/>
        </w:rPr>
        <w:sectPr>
          <w:pgSz w:w="11900" w:h="16840"/>
          <w:pgMar w:top="1321" w:right="1179" w:bottom="1219" w:left="1219" w:header="879" w:footer="1020" w:gutter="0"/>
          <w:cols w:space="0" w:num="1"/>
          <w:rtlGutter w:val="0"/>
          <w:docGrid w:linePitch="0" w:charSpace="0"/>
        </w:sectPr>
      </w:pPr>
    </w:p>
    <w:p>
      <w:pPr>
        <w:snapToGrid w:val="0"/>
        <w:spacing w:line="543" w:lineRule="exact"/>
        <w:ind w:right="31"/>
        <w:jc w:val="center"/>
        <w:textAlignment w:val="baseline"/>
        <w:rPr>
          <w:rFonts w:ascii="微软雅黑" w:eastAsia="微软雅黑"/>
          <w:b/>
          <w:color w:val="auto"/>
          <w:sz w:val="32"/>
          <w:highlight w:val="none"/>
          <w:lang w:val="en-US"/>
        </w:rPr>
      </w:pPr>
      <w:bookmarkStart w:id="52" w:name="_Toc270678428"/>
      <w:bookmarkStart w:id="53" w:name="_Toc404157142"/>
    </w:p>
    <w:p>
      <w:pPr>
        <w:snapToGrid w:val="0"/>
        <w:spacing w:line="543" w:lineRule="exact"/>
        <w:ind w:right="31"/>
        <w:jc w:val="center"/>
        <w:textAlignment w:val="baseline"/>
        <w:rPr>
          <w:rFonts w:ascii="微软雅黑" w:eastAsia="微软雅黑"/>
          <w:b/>
          <w:color w:val="auto"/>
          <w:sz w:val="32"/>
          <w:highlight w:val="none"/>
          <w:lang w:val="en-US"/>
        </w:rPr>
      </w:pPr>
      <w:r>
        <w:rPr>
          <w:rFonts w:hint="eastAsia" w:ascii="微软雅黑" w:eastAsia="微软雅黑"/>
          <w:b/>
          <w:color w:val="auto"/>
          <w:sz w:val="32"/>
          <w:highlight w:val="none"/>
          <w:lang w:val="en-US"/>
        </w:rPr>
        <w:t>6、技术方案</w:t>
      </w:r>
    </w:p>
    <w:p>
      <w:pPr>
        <w:pStyle w:val="17"/>
        <w:snapToGrid w:val="0"/>
        <w:ind w:left="0"/>
        <w:jc w:val="center"/>
        <w:textAlignment w:val="baseline"/>
        <w:rPr>
          <w:b w:val="0"/>
          <w:bCs w:val="0"/>
          <w:color w:val="auto"/>
          <w:highlight w:val="none"/>
          <w:lang w:val="en-US"/>
        </w:rPr>
      </w:pPr>
      <w:r>
        <w:rPr>
          <w:rFonts w:hint="eastAsia"/>
          <w:b w:val="0"/>
          <w:bCs w:val="0"/>
          <w:color w:val="auto"/>
          <w:highlight w:val="none"/>
          <w:lang w:val="en-US"/>
        </w:rPr>
        <w:t>（</w:t>
      </w:r>
      <w:r>
        <w:rPr>
          <w:rFonts w:hint="eastAsia" w:cs="仿宋"/>
          <w:b w:val="0"/>
          <w:bCs w:val="0"/>
          <w:color w:val="auto"/>
          <w:sz w:val="20"/>
          <w:highlight w:val="none"/>
        </w:rPr>
        <w:t>满足招标建设要求，包含网络拓扑图、施工点位图等）</w:t>
      </w:r>
      <w:r>
        <w:rPr>
          <w:b w:val="0"/>
          <w:color w:val="auto"/>
          <w:sz w:val="20"/>
          <w:highlight w:val="none"/>
        </w:rPr>
        <w:br w:type="page"/>
      </w:r>
    </w:p>
    <w:p>
      <w:pPr>
        <w:snapToGrid w:val="0"/>
        <w:spacing w:line="543" w:lineRule="exact"/>
        <w:ind w:right="31"/>
        <w:jc w:val="center"/>
        <w:textAlignment w:val="baseline"/>
        <w:rPr>
          <w:rFonts w:ascii="微软雅黑" w:eastAsia="微软雅黑"/>
          <w:b/>
          <w:color w:val="auto"/>
          <w:sz w:val="32"/>
          <w:highlight w:val="none"/>
          <w:lang w:val="en-US"/>
        </w:rPr>
      </w:pPr>
      <w:r>
        <w:rPr>
          <w:rFonts w:hint="eastAsia" w:ascii="微软雅黑" w:eastAsia="微软雅黑"/>
          <w:b/>
          <w:color w:val="auto"/>
          <w:sz w:val="32"/>
          <w:highlight w:val="none"/>
          <w:lang w:val="en-US"/>
        </w:rPr>
        <w:t>7、</w:t>
      </w:r>
      <w:r>
        <w:rPr>
          <w:rFonts w:hint="eastAsia" w:ascii="微软雅黑" w:eastAsia="微软雅黑"/>
          <w:b/>
          <w:color w:val="auto"/>
          <w:sz w:val="32"/>
          <w:highlight w:val="none"/>
        </w:rPr>
        <w:t>设备安装组织方案</w:t>
      </w:r>
    </w:p>
    <w:p>
      <w:pPr>
        <w:snapToGrid w:val="0"/>
        <w:jc w:val="center"/>
        <w:textAlignment w:val="baseline"/>
        <w:rPr>
          <w:color w:val="auto"/>
          <w:sz w:val="20"/>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lang w:val="en-US"/>
        </w:rPr>
      </w:pPr>
    </w:p>
    <w:p>
      <w:p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8、</w:t>
      </w:r>
      <w:bookmarkEnd w:id="52"/>
      <w:bookmarkEnd w:id="53"/>
      <w:r>
        <w:rPr>
          <w:rFonts w:hint="eastAsia" w:ascii="微软雅黑" w:eastAsia="微软雅黑"/>
          <w:b/>
          <w:color w:val="auto"/>
          <w:sz w:val="32"/>
          <w:highlight w:val="none"/>
        </w:rPr>
        <w:t>售后服务计划</w:t>
      </w:r>
    </w:p>
    <w:p>
      <w:pPr>
        <w:snapToGrid w:val="0"/>
        <w:spacing w:line="400" w:lineRule="exact"/>
        <w:ind w:left="-110" w:leftChars="-50" w:right="-440" w:firstLine="960" w:firstLineChars="400"/>
        <w:jc w:val="center"/>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售后服务承诺包括但不限于以下内容：</w:t>
      </w:r>
    </w:p>
    <w:p>
      <w:pPr>
        <w:numPr>
          <w:ilvl w:val="2"/>
          <w:numId w:val="22"/>
        </w:numPr>
        <w:snapToGrid w:val="0"/>
        <w:spacing w:line="400" w:lineRule="exact"/>
        <w:ind w:left="818" w:leftChars="372" w:right="-440"/>
        <w:textAlignment w:val="baseline"/>
        <w:rPr>
          <w:color w:val="auto"/>
          <w:sz w:val="24"/>
          <w:highlight w:val="none"/>
        </w:rPr>
      </w:pPr>
      <w:r>
        <w:rPr>
          <w:rFonts w:hint="eastAsia"/>
          <w:color w:val="auto"/>
          <w:sz w:val="24"/>
          <w:highlight w:val="none"/>
        </w:rPr>
        <w:t>维修人员</w:t>
      </w:r>
    </w:p>
    <w:p>
      <w:pPr>
        <w:numPr>
          <w:ilvl w:val="2"/>
          <w:numId w:val="22"/>
        </w:numPr>
        <w:snapToGrid w:val="0"/>
        <w:spacing w:line="400" w:lineRule="exact"/>
        <w:ind w:left="818" w:leftChars="372" w:right="-440"/>
        <w:textAlignment w:val="baseline"/>
        <w:rPr>
          <w:color w:val="auto"/>
          <w:sz w:val="24"/>
          <w:highlight w:val="none"/>
        </w:rPr>
      </w:pPr>
      <w:r>
        <w:rPr>
          <w:rFonts w:hint="eastAsia"/>
          <w:color w:val="auto"/>
          <w:sz w:val="24"/>
          <w:highlight w:val="none"/>
        </w:rPr>
        <w:t>响应时间</w:t>
      </w:r>
    </w:p>
    <w:p>
      <w:pPr>
        <w:numPr>
          <w:ilvl w:val="2"/>
          <w:numId w:val="22"/>
        </w:numPr>
        <w:snapToGrid w:val="0"/>
        <w:spacing w:line="400" w:lineRule="exact"/>
        <w:ind w:left="818" w:leftChars="372" w:right="-440"/>
        <w:textAlignment w:val="baseline"/>
        <w:rPr>
          <w:color w:val="auto"/>
          <w:sz w:val="24"/>
          <w:highlight w:val="none"/>
        </w:rPr>
      </w:pPr>
      <w:r>
        <w:rPr>
          <w:rFonts w:hint="eastAsia"/>
          <w:color w:val="auto"/>
          <w:sz w:val="24"/>
          <w:highlight w:val="none"/>
        </w:rPr>
        <w:t>服务承诺</w:t>
      </w:r>
      <w:bookmarkStart w:id="54" w:name="_TOC_250003"/>
      <w:bookmarkEnd w:id="54"/>
    </w:p>
    <w:p>
      <w:pPr>
        <w:snapToGrid w:val="0"/>
        <w:textAlignment w:val="baseline"/>
        <w:rPr>
          <w:color w:val="auto"/>
          <w:sz w:val="24"/>
          <w:highlight w:val="none"/>
        </w:rPr>
      </w:pPr>
      <w:r>
        <w:rPr>
          <w:color w:val="auto"/>
          <w:sz w:val="20"/>
          <w:highlight w:val="none"/>
        </w:rPr>
        <w:br w:type="page"/>
      </w:r>
    </w:p>
    <w:p>
      <w:pPr>
        <w:pStyle w:val="10"/>
        <w:snapToGrid w:val="0"/>
        <w:spacing w:before="5"/>
        <w:jc w:val="center"/>
        <w:textAlignment w:val="baseline"/>
        <w:rPr>
          <w:color w:val="auto"/>
          <w:sz w:val="10"/>
          <w:highlight w:val="none"/>
        </w:rPr>
      </w:pPr>
    </w:p>
    <w:p>
      <w:pPr>
        <w:snapToGrid w:val="0"/>
        <w:spacing w:line="543" w:lineRule="exact"/>
        <w:ind w:right="31"/>
        <w:jc w:val="center"/>
        <w:textAlignment w:val="baseline"/>
        <w:rPr>
          <w:rFonts w:ascii="微软雅黑" w:eastAsia="微软雅黑"/>
          <w:b/>
          <w:color w:val="auto"/>
          <w:sz w:val="32"/>
          <w:highlight w:val="none"/>
        </w:rPr>
      </w:pPr>
      <w:bookmarkStart w:id="55" w:name="_TOC_250000"/>
      <w:bookmarkEnd w:id="55"/>
      <w:r>
        <w:rPr>
          <w:rFonts w:hint="eastAsia" w:ascii="微软雅黑" w:eastAsia="微软雅黑"/>
          <w:b/>
          <w:color w:val="auto"/>
          <w:sz w:val="32"/>
          <w:highlight w:val="none"/>
          <w:lang w:val="en-US"/>
        </w:rPr>
        <w:t>9</w:t>
      </w:r>
      <w:r>
        <w:rPr>
          <w:rFonts w:hint="eastAsia" w:ascii="微软雅黑" w:eastAsia="微软雅黑"/>
          <w:b/>
          <w:color w:val="auto"/>
          <w:sz w:val="32"/>
          <w:highlight w:val="none"/>
        </w:rPr>
        <w:t>、其它</w:t>
      </w:r>
    </w:p>
    <w:sectPr>
      <w:headerReference r:id="rId12" w:type="default"/>
      <w:footerReference r:id="rId13" w:type="default"/>
      <w:pgSz w:w="11900" w:h="16840"/>
      <w:pgMar w:top="1321" w:right="1179" w:bottom="1219" w:left="1219" w:header="879" w:footer="1020"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serif">
    <w:altName w:val="Times New Roman"/>
    <w:panose1 w:val="00000000000000000000"/>
    <w:charset w:val="00"/>
    <w:family w:val="auto"/>
    <w:pitch w:val="default"/>
    <w:sig w:usb0="00000000" w:usb1="00000000" w:usb2="00000000" w:usb3="00000000" w:csb0="00000000" w:csb1="00000000"/>
  </w:font>
  <w:font w:name="EU-F1">
    <w:altName w:val="宋体"/>
    <w:panose1 w:val="00000000000000000000"/>
    <w:charset w:val="86"/>
    <w:family w:val="script"/>
    <w:pitch w:val="default"/>
    <w:sig w:usb0="00000000" w:usb1="00000000" w:usb2="00000010" w:usb3="00000000" w:csb0="00040000" w:csb1="00000000"/>
  </w:font>
  <w:font w:name="hakuyoxingshu7000">
    <w:panose1 w:val="02000600000000000000"/>
    <w:charset w:val="86"/>
    <w:family w:val="auto"/>
    <w:pitch w:val="default"/>
    <w:sig w:usb0="FFFFFFFF" w:usb1="E9FFFFFF" w:usb2="0000003F" w:usb3="00000000" w:csb0="603F00FF" w:csb1="FFFF0000"/>
  </w:font>
  <w:font w:name="Corbel">
    <w:panose1 w:val="020B0503020204020204"/>
    <w:charset w:val="00"/>
    <w:family w:val="swiss"/>
    <w:pitch w:val="default"/>
    <w:sig w:usb0="A00002EF" w:usb1="4000A44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rPr>
        <w:sz w:val="20"/>
        <w:lang w:val="en-US"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heme="minorEastAsia" w:hAnsiTheme="minorEastAsia" w:eastAsiaTheme="minorEastAsia" w:cstheme="minorEastAsia"/>
        <w:b/>
        <w:bCs/>
        <w:sz w:val="18"/>
        <w:szCs w:val="18"/>
        <w:lang w:val="en-US"/>
      </w:rPr>
    </w:pPr>
    <w:r>
      <w:rPr>
        <w:rFonts w:hint="eastAsia" w:asciiTheme="minorEastAsia" w:hAnsiTheme="minorEastAsia" w:eastAsiaTheme="minorEastAsia" w:cstheme="minorEastAsia"/>
        <w:b/>
        <w:bCs/>
        <w:sz w:val="18"/>
        <w:szCs w:val="18"/>
      </w:rPr>
      <w:t>湖北城发设计咨询集团有限公司编制</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bCs/>
        <w:sz w:val="18"/>
        <w:szCs w:val="18"/>
      </w:rPr>
    </w:pPr>
    <w:r>
      <w:rPr>
        <w:b/>
        <w:bCs/>
        <w:sz w:val="18"/>
        <w:szCs w:val="18"/>
        <w:lang w:val="en-US" w:bidi="ar-SA"/>
      </w:rPr>
      <mc:AlternateContent>
        <mc:Choice Requires="wps">
          <w:drawing>
            <wp:anchor distT="0" distB="0" distL="114300" distR="114300" simplePos="0" relativeHeight="251660288" behindDoc="0" locked="0" layoutInCell="1" allowOverlap="1">
              <wp:simplePos x="0" y="0"/>
              <wp:positionH relativeFrom="margin">
                <wp:posOffset>5913755</wp:posOffset>
              </wp:positionH>
              <wp:positionV relativeFrom="paragraph">
                <wp:posOffset>-22225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5.65pt;margin-top:-1.75pt;height:144pt;width:144pt;mso-position-horizontal-relative:margin;mso-wrap-style:none;z-index:251660288;mso-width-relative:page;mso-height-relative:page;" filled="f" stroked="f" coordsize="21600,21600" o:gfxdata="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fvvz3YAAAACwEAAA8AAAAAAAAAAQAgAAAAIgAAAGRycy9kb3ducmV2Lnht&#10;bFBLAQIUABQAAAAIAIdO4kBr5OO8MgIAAGMEAAAOAAAAAAAAAAEAIAAAACcBAABkcnMvZTJvRG9j&#10;LnhtbFBLBQYAAAAABgAGAFkBAADL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15</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1312" behindDoc="0" locked="0" layoutInCell="1" allowOverlap="1">
              <wp:simplePos x="0" y="0"/>
              <wp:positionH relativeFrom="margin">
                <wp:posOffset>5913755</wp:posOffset>
              </wp:positionH>
              <wp:positionV relativeFrom="paragraph">
                <wp:posOffset>-22225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5.65pt;margin-top:-1.75pt;height:144pt;width:144pt;mso-position-horizontal-relative:margin;mso-wrap-style:none;z-index:251661312;mso-width-relative:page;mso-height-relative:page;" filled="f" stroked="f" coordsize="21600,21600" o:gfxdata="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fvvz3YAAAACwEAAA8AAAAAAAAAAQAgAAAAIgAAAGRycy9kb3ducmV2Lnht&#10;bFBLAQIUABQAAAAIAIdO4kC9bWZVMgIAAGMEAAAOAAAAAAAAAAEAIAAAACcBAABkcnMvZTJvRG9j&#10;LnhtbFBLBQYAAAAABgAGAFkBAADL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18</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2336" behindDoc="0" locked="0" layoutInCell="1" allowOverlap="1">
              <wp:simplePos x="0" y="0"/>
              <wp:positionH relativeFrom="margin">
                <wp:posOffset>5913755</wp:posOffset>
              </wp:positionH>
              <wp:positionV relativeFrom="paragraph">
                <wp:posOffset>-22225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5.65pt;margin-top:-1.75pt;height:144pt;width:144pt;mso-position-horizontal-relative:margin;mso-wrap-style:none;z-index:251662336;mso-width-relative:page;mso-height-relative:page;" filled="f" stroked="f" coordsize="21600,21600" o:gfxdata="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PdgAAAALAQAADwAAAAAAAAABACAAAAAiAAAAZHJzL2Rvd25yZXYueG1s&#10;UEsBAhQAFAAAAAgAh07iQLHPF6wxAgAAYwQAAA4AAAAAAAAAAQAgAAAAJwEAAGRycy9lMm9Eb2Mu&#10;eG1sUEsFBgAAAAAGAAYAWQEAAMo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20</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3360" behindDoc="0" locked="0" layoutInCell="1" allowOverlap="1">
              <wp:simplePos x="0" y="0"/>
              <wp:positionH relativeFrom="margin">
                <wp:posOffset>5913755</wp:posOffset>
              </wp:positionH>
              <wp:positionV relativeFrom="paragraph">
                <wp:posOffset>-22225</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5.65pt;margin-top:-1.75pt;height:144pt;width:144pt;mso-position-horizontal-relative:margin;mso-wrap-style:none;z-index:251663360;mso-width-relative:page;mso-height-relative:page;" filled="f" stroked="f" coordsize="21600,21600" o:gfxdata="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fvvz3YAAAACwEAAA8AAAAAAAAAAQAgAAAAIgAAAGRycy9kb3ducmV2Lnht&#10;bFBLAQIUABQAAAAIAIdO4kADt5T0MgIAAGMEAAAOAAAAAAAAAAEAIAAAACcBAABkcnMvZTJvRG9j&#10;LnhtbFBLBQYAAAAABgAGAFkBAADL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48</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4384" behindDoc="0" locked="0" layoutInCell="1" allowOverlap="1">
              <wp:simplePos x="0" y="0"/>
              <wp:positionH relativeFrom="margin">
                <wp:posOffset>5913755</wp:posOffset>
              </wp:positionH>
              <wp:positionV relativeFrom="paragraph">
                <wp:posOffset>-22225</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5.65pt;margin-top:-1.75pt;height:144pt;width:144pt;mso-position-horizontal-relative:margin;mso-wrap-style:none;z-index:251664384;mso-width-relative:page;mso-height-relative:page;" filled="f" stroked="f" coordsize="21600,21600" o:gfxdata="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PdgAAAALAQAADwAAAAAAAAABACAAAAAiAAAAZHJzL2Rvd25yZXYueG1s&#10;UEsBAhQAFAAAAAgAh07iQHUWTfsxAgAAZQQAAA4AAAAAAAAAAQAgAAAAJwEAAGRycy9lMm9Eb2Mu&#10;eG1sUEsFBgAAAAAGAAYAWQEAAMo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52</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jc w:val="left"/>
      <w:rPr>
        <w:b/>
        <w:bCs/>
        <w:szCs w:val="18"/>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1"/>
      </w:pBdr>
      <w:jc w:val="left"/>
      <w:rPr>
        <w:b/>
        <w:bCs/>
        <w:szCs w:val="18"/>
        <w:lang w:val="en-US"/>
      </w:rPr>
    </w:pPr>
    <w:r>
      <w:rPr>
        <w:rFonts w:hint="eastAsia" w:asciiTheme="minorEastAsia" w:hAnsiTheme="minorEastAsia" w:eastAsiaTheme="minorEastAsia" w:cstheme="minorEastAsia"/>
        <w:b/>
        <w:bCs/>
        <w:szCs w:val="18"/>
      </w:rPr>
      <w:t>黄石市二医院</w:t>
    </w:r>
    <w:r>
      <w:rPr>
        <w:rFonts w:hint="eastAsia" w:asciiTheme="minorEastAsia" w:hAnsiTheme="minorEastAsia" w:eastAsiaTheme="minorEastAsia" w:cstheme="minorEastAsia"/>
        <w:b/>
        <w:bCs/>
        <w:szCs w:val="18"/>
        <w:lang w:eastAsia="zh-CN"/>
      </w:rPr>
      <w:t>高低压配电房至冷水机组密集型母线槽</w:t>
    </w:r>
    <w:r>
      <w:rPr>
        <w:rFonts w:hint="eastAsia" w:asciiTheme="minorEastAsia" w:hAnsiTheme="minorEastAsia" w:eastAsiaTheme="minorEastAsia" w:cstheme="minorEastAsia"/>
        <w:b/>
        <w:bCs/>
        <w:szCs w:val="18"/>
      </w:rPr>
      <w:t>采购及安装项目</w:t>
    </w:r>
  </w:p>
  <w:p>
    <w:pPr>
      <w:pStyle w:val="10"/>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6D500"/>
    <w:multiLevelType w:val="singleLevel"/>
    <w:tmpl w:val="8236D500"/>
    <w:lvl w:ilvl="0" w:tentative="0">
      <w:start w:val="6"/>
      <w:numFmt w:val="chineseCounting"/>
      <w:suff w:val="nothing"/>
      <w:lvlText w:val="%1、"/>
      <w:lvlJc w:val="left"/>
      <w:rPr>
        <w:rFonts w:hint="eastAsia"/>
      </w:rPr>
    </w:lvl>
  </w:abstractNum>
  <w:abstractNum w:abstractNumId="1">
    <w:nsid w:val="9239341B"/>
    <w:multiLevelType w:val="multilevel"/>
    <w:tmpl w:val="9239341B"/>
    <w:lvl w:ilvl="0" w:tentative="0">
      <w:start w:val="8"/>
      <w:numFmt w:val="decimal"/>
      <w:lvlText w:val="%1"/>
      <w:lvlJc w:val="left"/>
      <w:pPr>
        <w:ind w:left="580" w:hanging="370"/>
      </w:pPr>
      <w:rPr>
        <w:rFonts w:hint="default"/>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370"/>
      </w:pPr>
      <w:rPr>
        <w:rFonts w:hint="default"/>
        <w:lang w:val="zh-CN" w:eastAsia="zh-CN" w:bidi="zh-CN"/>
      </w:rPr>
    </w:lvl>
    <w:lvl w:ilvl="3" w:tentative="0">
      <w:start w:val="0"/>
      <w:numFmt w:val="bullet"/>
      <w:lvlText w:val="•"/>
      <w:lvlJc w:val="left"/>
      <w:pPr>
        <w:ind w:left="3256" w:hanging="370"/>
      </w:pPr>
      <w:rPr>
        <w:rFonts w:hint="default"/>
        <w:lang w:val="zh-CN" w:eastAsia="zh-CN" w:bidi="zh-CN"/>
      </w:rPr>
    </w:lvl>
    <w:lvl w:ilvl="4" w:tentative="0">
      <w:start w:val="0"/>
      <w:numFmt w:val="bullet"/>
      <w:lvlText w:val="•"/>
      <w:lvlJc w:val="left"/>
      <w:pPr>
        <w:ind w:left="4148" w:hanging="370"/>
      </w:pPr>
      <w:rPr>
        <w:rFonts w:hint="default"/>
        <w:lang w:val="zh-CN" w:eastAsia="zh-CN" w:bidi="zh-CN"/>
      </w:rPr>
    </w:lvl>
    <w:lvl w:ilvl="5" w:tentative="0">
      <w:start w:val="0"/>
      <w:numFmt w:val="bullet"/>
      <w:lvlText w:val="•"/>
      <w:lvlJc w:val="left"/>
      <w:pPr>
        <w:ind w:left="5040" w:hanging="370"/>
      </w:pPr>
      <w:rPr>
        <w:rFonts w:hint="default"/>
        <w:lang w:val="zh-CN" w:eastAsia="zh-CN" w:bidi="zh-CN"/>
      </w:rPr>
    </w:lvl>
    <w:lvl w:ilvl="6" w:tentative="0">
      <w:start w:val="0"/>
      <w:numFmt w:val="bullet"/>
      <w:lvlText w:val="•"/>
      <w:lvlJc w:val="left"/>
      <w:pPr>
        <w:ind w:left="5932" w:hanging="370"/>
      </w:pPr>
      <w:rPr>
        <w:rFonts w:hint="default"/>
        <w:lang w:val="zh-CN" w:eastAsia="zh-CN" w:bidi="zh-CN"/>
      </w:rPr>
    </w:lvl>
    <w:lvl w:ilvl="7" w:tentative="0">
      <w:start w:val="0"/>
      <w:numFmt w:val="bullet"/>
      <w:lvlText w:val="•"/>
      <w:lvlJc w:val="left"/>
      <w:pPr>
        <w:ind w:left="6824" w:hanging="370"/>
      </w:pPr>
      <w:rPr>
        <w:rFonts w:hint="default"/>
        <w:lang w:val="zh-CN" w:eastAsia="zh-CN" w:bidi="zh-CN"/>
      </w:rPr>
    </w:lvl>
    <w:lvl w:ilvl="8" w:tentative="0">
      <w:start w:val="0"/>
      <w:numFmt w:val="bullet"/>
      <w:lvlText w:val="•"/>
      <w:lvlJc w:val="left"/>
      <w:pPr>
        <w:ind w:left="7716" w:hanging="370"/>
      </w:pPr>
      <w:rPr>
        <w:rFonts w:hint="default"/>
        <w:lang w:val="zh-CN" w:eastAsia="zh-CN" w:bidi="zh-CN"/>
      </w:rPr>
    </w:lvl>
  </w:abstractNum>
  <w:abstractNum w:abstractNumId="2">
    <w:nsid w:val="B0F1ACD9"/>
    <w:multiLevelType w:val="multilevel"/>
    <w:tmpl w:val="B0F1ACD9"/>
    <w:lvl w:ilvl="0" w:tentative="0">
      <w:start w:val="27"/>
      <w:numFmt w:val="decimal"/>
      <w:lvlText w:val="%1"/>
      <w:lvlJc w:val="left"/>
      <w:pPr>
        <w:ind w:left="1472" w:hanging="473"/>
      </w:pPr>
      <w:rPr>
        <w:rFonts w:hint="default"/>
        <w:lang w:val="zh-CN" w:eastAsia="zh-CN" w:bidi="zh-CN"/>
      </w:rPr>
    </w:lvl>
    <w:lvl w:ilvl="1" w:tentative="0">
      <w:start w:val="1"/>
      <w:numFmt w:val="decimal"/>
      <w:lvlText w:val="%1.%2"/>
      <w:lvlJc w:val="left"/>
      <w:pPr>
        <w:ind w:left="1472" w:hanging="473"/>
      </w:pPr>
      <w:rPr>
        <w:rFonts w:hint="default" w:ascii="宋体" w:hAnsi="宋体" w:eastAsia="宋体" w:cs="宋体"/>
        <w:w w:val="100"/>
        <w:sz w:val="21"/>
        <w:szCs w:val="21"/>
        <w:lang w:val="zh-CN" w:eastAsia="zh-CN" w:bidi="zh-CN"/>
      </w:rPr>
    </w:lvl>
    <w:lvl w:ilvl="2" w:tentative="0">
      <w:start w:val="0"/>
      <w:numFmt w:val="bullet"/>
      <w:lvlText w:val="•"/>
      <w:lvlJc w:val="left"/>
      <w:pPr>
        <w:ind w:left="3084" w:hanging="473"/>
      </w:pPr>
      <w:rPr>
        <w:rFonts w:hint="default"/>
        <w:lang w:val="zh-CN" w:eastAsia="zh-CN" w:bidi="zh-CN"/>
      </w:rPr>
    </w:lvl>
    <w:lvl w:ilvl="3" w:tentative="0">
      <w:start w:val="0"/>
      <w:numFmt w:val="bullet"/>
      <w:lvlText w:val="•"/>
      <w:lvlJc w:val="left"/>
      <w:pPr>
        <w:ind w:left="3886" w:hanging="473"/>
      </w:pPr>
      <w:rPr>
        <w:rFonts w:hint="default"/>
        <w:lang w:val="zh-CN" w:eastAsia="zh-CN" w:bidi="zh-CN"/>
      </w:rPr>
    </w:lvl>
    <w:lvl w:ilvl="4" w:tentative="0">
      <w:start w:val="0"/>
      <w:numFmt w:val="bullet"/>
      <w:lvlText w:val="•"/>
      <w:lvlJc w:val="left"/>
      <w:pPr>
        <w:ind w:left="4688" w:hanging="473"/>
      </w:pPr>
      <w:rPr>
        <w:rFonts w:hint="default"/>
        <w:lang w:val="zh-CN" w:eastAsia="zh-CN" w:bidi="zh-CN"/>
      </w:rPr>
    </w:lvl>
    <w:lvl w:ilvl="5" w:tentative="0">
      <w:start w:val="0"/>
      <w:numFmt w:val="bullet"/>
      <w:lvlText w:val="•"/>
      <w:lvlJc w:val="left"/>
      <w:pPr>
        <w:ind w:left="5490" w:hanging="473"/>
      </w:pPr>
      <w:rPr>
        <w:rFonts w:hint="default"/>
        <w:lang w:val="zh-CN" w:eastAsia="zh-CN" w:bidi="zh-CN"/>
      </w:rPr>
    </w:lvl>
    <w:lvl w:ilvl="6" w:tentative="0">
      <w:start w:val="0"/>
      <w:numFmt w:val="bullet"/>
      <w:lvlText w:val="•"/>
      <w:lvlJc w:val="left"/>
      <w:pPr>
        <w:ind w:left="6292" w:hanging="473"/>
      </w:pPr>
      <w:rPr>
        <w:rFonts w:hint="default"/>
        <w:lang w:val="zh-CN" w:eastAsia="zh-CN" w:bidi="zh-CN"/>
      </w:rPr>
    </w:lvl>
    <w:lvl w:ilvl="7" w:tentative="0">
      <w:start w:val="0"/>
      <w:numFmt w:val="bullet"/>
      <w:lvlText w:val="•"/>
      <w:lvlJc w:val="left"/>
      <w:pPr>
        <w:ind w:left="7094" w:hanging="473"/>
      </w:pPr>
      <w:rPr>
        <w:rFonts w:hint="default"/>
        <w:lang w:val="zh-CN" w:eastAsia="zh-CN" w:bidi="zh-CN"/>
      </w:rPr>
    </w:lvl>
    <w:lvl w:ilvl="8" w:tentative="0">
      <w:start w:val="0"/>
      <w:numFmt w:val="bullet"/>
      <w:lvlText w:val="•"/>
      <w:lvlJc w:val="left"/>
      <w:pPr>
        <w:ind w:left="7896" w:hanging="473"/>
      </w:pPr>
      <w:rPr>
        <w:rFonts w:hint="default"/>
        <w:lang w:val="zh-CN" w:eastAsia="zh-CN" w:bidi="zh-CN"/>
      </w:rPr>
    </w:lvl>
  </w:abstractNum>
  <w:abstractNum w:abstractNumId="3">
    <w:nsid w:val="BF205925"/>
    <w:multiLevelType w:val="multilevel"/>
    <w:tmpl w:val="BF205925"/>
    <w:lvl w:ilvl="0" w:tentative="0">
      <w:start w:val="2"/>
      <w:numFmt w:val="decimal"/>
      <w:lvlText w:val="%1."/>
      <w:lvlJc w:val="left"/>
      <w:pPr>
        <w:ind w:left="823" w:hanging="24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1422" w:hanging="423"/>
      </w:pPr>
      <w:rPr>
        <w:rFonts w:hint="default" w:ascii="宋体" w:hAnsi="宋体" w:eastAsia="宋体" w:cs="宋体"/>
        <w:w w:val="100"/>
        <w:sz w:val="21"/>
        <w:szCs w:val="21"/>
        <w:lang w:val="zh-CN" w:eastAsia="zh-CN" w:bidi="zh-CN"/>
      </w:rPr>
    </w:lvl>
    <w:lvl w:ilvl="2" w:tentative="0">
      <w:start w:val="0"/>
      <w:numFmt w:val="bullet"/>
      <w:lvlText w:val="•"/>
      <w:lvlJc w:val="left"/>
      <w:pPr>
        <w:ind w:left="2317" w:hanging="423"/>
      </w:pPr>
      <w:rPr>
        <w:rFonts w:hint="default"/>
        <w:lang w:val="zh-CN" w:eastAsia="zh-CN" w:bidi="zh-CN"/>
      </w:rPr>
    </w:lvl>
    <w:lvl w:ilvl="3" w:tentative="0">
      <w:start w:val="0"/>
      <w:numFmt w:val="bullet"/>
      <w:lvlText w:val="•"/>
      <w:lvlJc w:val="left"/>
      <w:pPr>
        <w:ind w:left="3215" w:hanging="423"/>
      </w:pPr>
      <w:rPr>
        <w:rFonts w:hint="default"/>
        <w:lang w:val="zh-CN" w:eastAsia="zh-CN" w:bidi="zh-CN"/>
      </w:rPr>
    </w:lvl>
    <w:lvl w:ilvl="4" w:tentative="0">
      <w:start w:val="0"/>
      <w:numFmt w:val="bullet"/>
      <w:lvlText w:val="•"/>
      <w:lvlJc w:val="left"/>
      <w:pPr>
        <w:ind w:left="4113" w:hanging="423"/>
      </w:pPr>
      <w:rPr>
        <w:rFonts w:hint="default"/>
        <w:lang w:val="zh-CN" w:eastAsia="zh-CN" w:bidi="zh-CN"/>
      </w:rPr>
    </w:lvl>
    <w:lvl w:ilvl="5" w:tentative="0">
      <w:start w:val="0"/>
      <w:numFmt w:val="bullet"/>
      <w:lvlText w:val="•"/>
      <w:lvlJc w:val="left"/>
      <w:pPr>
        <w:ind w:left="5011" w:hanging="423"/>
      </w:pPr>
      <w:rPr>
        <w:rFonts w:hint="default"/>
        <w:lang w:val="zh-CN" w:eastAsia="zh-CN" w:bidi="zh-CN"/>
      </w:rPr>
    </w:lvl>
    <w:lvl w:ilvl="6" w:tentative="0">
      <w:start w:val="0"/>
      <w:numFmt w:val="bullet"/>
      <w:lvlText w:val="•"/>
      <w:lvlJc w:val="left"/>
      <w:pPr>
        <w:ind w:left="5908" w:hanging="423"/>
      </w:pPr>
      <w:rPr>
        <w:rFonts w:hint="default"/>
        <w:lang w:val="zh-CN" w:eastAsia="zh-CN" w:bidi="zh-CN"/>
      </w:rPr>
    </w:lvl>
    <w:lvl w:ilvl="7" w:tentative="0">
      <w:start w:val="0"/>
      <w:numFmt w:val="bullet"/>
      <w:lvlText w:val="•"/>
      <w:lvlJc w:val="left"/>
      <w:pPr>
        <w:ind w:left="6806" w:hanging="423"/>
      </w:pPr>
      <w:rPr>
        <w:rFonts w:hint="default"/>
        <w:lang w:val="zh-CN" w:eastAsia="zh-CN" w:bidi="zh-CN"/>
      </w:rPr>
    </w:lvl>
    <w:lvl w:ilvl="8" w:tentative="0">
      <w:start w:val="0"/>
      <w:numFmt w:val="bullet"/>
      <w:lvlText w:val="•"/>
      <w:lvlJc w:val="left"/>
      <w:pPr>
        <w:ind w:left="7704" w:hanging="423"/>
      </w:pPr>
      <w:rPr>
        <w:rFonts w:hint="default"/>
        <w:lang w:val="zh-CN" w:eastAsia="zh-CN" w:bidi="zh-CN"/>
      </w:rPr>
    </w:lvl>
  </w:abstractNum>
  <w:abstractNum w:abstractNumId="4">
    <w:nsid w:val="C8879AEF"/>
    <w:multiLevelType w:val="multilevel"/>
    <w:tmpl w:val="C8879AEF"/>
    <w:lvl w:ilvl="0" w:tentative="0">
      <w:start w:val="12"/>
      <w:numFmt w:val="decimal"/>
      <w:lvlText w:val="%1"/>
      <w:lvlJc w:val="left"/>
      <w:pPr>
        <w:ind w:left="1472" w:hanging="473"/>
      </w:pPr>
      <w:rPr>
        <w:rFonts w:hint="default"/>
        <w:lang w:val="zh-CN" w:eastAsia="zh-CN" w:bidi="zh-CN"/>
      </w:rPr>
    </w:lvl>
    <w:lvl w:ilvl="1" w:tentative="0">
      <w:start w:val="1"/>
      <w:numFmt w:val="decimal"/>
      <w:lvlText w:val="%1.%2"/>
      <w:lvlJc w:val="left"/>
      <w:pPr>
        <w:ind w:left="1472" w:hanging="473"/>
      </w:pPr>
      <w:rPr>
        <w:rFonts w:hint="default"/>
        <w:w w:val="100"/>
        <w:lang w:val="zh-CN" w:eastAsia="zh-CN" w:bidi="zh-CN"/>
      </w:rPr>
    </w:lvl>
    <w:lvl w:ilvl="2" w:tentative="0">
      <w:start w:val="0"/>
      <w:numFmt w:val="bullet"/>
      <w:lvlText w:val="•"/>
      <w:lvlJc w:val="left"/>
      <w:pPr>
        <w:ind w:left="3084" w:hanging="473"/>
      </w:pPr>
      <w:rPr>
        <w:rFonts w:hint="default"/>
        <w:lang w:val="zh-CN" w:eastAsia="zh-CN" w:bidi="zh-CN"/>
      </w:rPr>
    </w:lvl>
    <w:lvl w:ilvl="3" w:tentative="0">
      <w:start w:val="0"/>
      <w:numFmt w:val="bullet"/>
      <w:lvlText w:val="•"/>
      <w:lvlJc w:val="left"/>
      <w:pPr>
        <w:ind w:left="3886" w:hanging="473"/>
      </w:pPr>
      <w:rPr>
        <w:rFonts w:hint="default"/>
        <w:lang w:val="zh-CN" w:eastAsia="zh-CN" w:bidi="zh-CN"/>
      </w:rPr>
    </w:lvl>
    <w:lvl w:ilvl="4" w:tentative="0">
      <w:start w:val="0"/>
      <w:numFmt w:val="bullet"/>
      <w:lvlText w:val="•"/>
      <w:lvlJc w:val="left"/>
      <w:pPr>
        <w:ind w:left="4688" w:hanging="473"/>
      </w:pPr>
      <w:rPr>
        <w:rFonts w:hint="default"/>
        <w:lang w:val="zh-CN" w:eastAsia="zh-CN" w:bidi="zh-CN"/>
      </w:rPr>
    </w:lvl>
    <w:lvl w:ilvl="5" w:tentative="0">
      <w:start w:val="0"/>
      <w:numFmt w:val="bullet"/>
      <w:lvlText w:val="•"/>
      <w:lvlJc w:val="left"/>
      <w:pPr>
        <w:ind w:left="5490" w:hanging="473"/>
      </w:pPr>
      <w:rPr>
        <w:rFonts w:hint="default"/>
        <w:lang w:val="zh-CN" w:eastAsia="zh-CN" w:bidi="zh-CN"/>
      </w:rPr>
    </w:lvl>
    <w:lvl w:ilvl="6" w:tentative="0">
      <w:start w:val="0"/>
      <w:numFmt w:val="bullet"/>
      <w:lvlText w:val="•"/>
      <w:lvlJc w:val="left"/>
      <w:pPr>
        <w:ind w:left="6292" w:hanging="473"/>
      </w:pPr>
      <w:rPr>
        <w:rFonts w:hint="default"/>
        <w:lang w:val="zh-CN" w:eastAsia="zh-CN" w:bidi="zh-CN"/>
      </w:rPr>
    </w:lvl>
    <w:lvl w:ilvl="7" w:tentative="0">
      <w:start w:val="0"/>
      <w:numFmt w:val="bullet"/>
      <w:lvlText w:val="•"/>
      <w:lvlJc w:val="left"/>
      <w:pPr>
        <w:ind w:left="7094" w:hanging="473"/>
      </w:pPr>
      <w:rPr>
        <w:rFonts w:hint="default"/>
        <w:lang w:val="zh-CN" w:eastAsia="zh-CN" w:bidi="zh-CN"/>
      </w:rPr>
    </w:lvl>
    <w:lvl w:ilvl="8" w:tentative="0">
      <w:start w:val="0"/>
      <w:numFmt w:val="bullet"/>
      <w:lvlText w:val="•"/>
      <w:lvlJc w:val="left"/>
      <w:pPr>
        <w:ind w:left="7896" w:hanging="473"/>
      </w:pPr>
      <w:rPr>
        <w:rFonts w:hint="default"/>
        <w:lang w:val="zh-CN" w:eastAsia="zh-CN" w:bidi="zh-CN"/>
      </w:rPr>
    </w:lvl>
  </w:abstractNum>
  <w:abstractNum w:abstractNumId="5">
    <w:nsid w:val="D7F9FE59"/>
    <w:multiLevelType w:val="multilevel"/>
    <w:tmpl w:val="D7F9FE59"/>
    <w:lvl w:ilvl="0" w:tentative="0">
      <w:start w:val="17"/>
      <w:numFmt w:val="decimal"/>
      <w:lvlText w:val="%1."/>
      <w:lvlJc w:val="left"/>
      <w:pPr>
        <w:ind w:left="944" w:hanging="365"/>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580" w:hanging="528"/>
      </w:pPr>
      <w:rPr>
        <w:rFonts w:hint="default"/>
        <w:w w:val="100"/>
        <w:lang w:val="zh-CN" w:eastAsia="zh-CN" w:bidi="zh-CN"/>
      </w:rPr>
    </w:lvl>
    <w:lvl w:ilvl="2" w:tentative="0">
      <w:start w:val="1"/>
      <w:numFmt w:val="decimal"/>
      <w:lvlText w:val="%1.%2.%3"/>
      <w:lvlJc w:val="left"/>
      <w:pPr>
        <w:ind w:left="579" w:hanging="689"/>
      </w:pPr>
      <w:rPr>
        <w:rFonts w:hint="default" w:ascii="微软雅黑" w:hAnsi="微软雅黑" w:eastAsia="微软雅黑" w:cs="微软雅黑"/>
        <w:b/>
        <w:bCs/>
        <w:w w:val="81"/>
        <w:sz w:val="21"/>
        <w:szCs w:val="21"/>
        <w:lang w:val="zh-CN" w:eastAsia="zh-CN" w:bidi="zh-CN"/>
      </w:rPr>
    </w:lvl>
    <w:lvl w:ilvl="3" w:tentative="0">
      <w:start w:val="0"/>
      <w:numFmt w:val="bullet"/>
      <w:lvlText w:val="•"/>
      <w:lvlJc w:val="left"/>
      <w:pPr>
        <w:ind w:left="2710" w:hanging="689"/>
      </w:pPr>
      <w:rPr>
        <w:rFonts w:hint="default"/>
        <w:lang w:val="zh-CN" w:eastAsia="zh-CN" w:bidi="zh-CN"/>
      </w:rPr>
    </w:lvl>
    <w:lvl w:ilvl="4" w:tentative="0">
      <w:start w:val="0"/>
      <w:numFmt w:val="bullet"/>
      <w:lvlText w:val="•"/>
      <w:lvlJc w:val="left"/>
      <w:pPr>
        <w:ind w:left="3680" w:hanging="689"/>
      </w:pPr>
      <w:rPr>
        <w:rFonts w:hint="default"/>
        <w:lang w:val="zh-CN" w:eastAsia="zh-CN" w:bidi="zh-CN"/>
      </w:rPr>
    </w:lvl>
    <w:lvl w:ilvl="5" w:tentative="0">
      <w:start w:val="0"/>
      <w:numFmt w:val="bullet"/>
      <w:lvlText w:val="•"/>
      <w:lvlJc w:val="left"/>
      <w:pPr>
        <w:ind w:left="4650" w:hanging="689"/>
      </w:pPr>
      <w:rPr>
        <w:rFonts w:hint="default"/>
        <w:lang w:val="zh-CN" w:eastAsia="zh-CN" w:bidi="zh-CN"/>
      </w:rPr>
    </w:lvl>
    <w:lvl w:ilvl="6" w:tentative="0">
      <w:start w:val="0"/>
      <w:numFmt w:val="bullet"/>
      <w:lvlText w:val="•"/>
      <w:lvlJc w:val="left"/>
      <w:pPr>
        <w:ind w:left="5620" w:hanging="689"/>
      </w:pPr>
      <w:rPr>
        <w:rFonts w:hint="default"/>
        <w:lang w:val="zh-CN" w:eastAsia="zh-CN" w:bidi="zh-CN"/>
      </w:rPr>
    </w:lvl>
    <w:lvl w:ilvl="7" w:tentative="0">
      <w:start w:val="0"/>
      <w:numFmt w:val="bullet"/>
      <w:lvlText w:val="•"/>
      <w:lvlJc w:val="left"/>
      <w:pPr>
        <w:ind w:left="6590" w:hanging="689"/>
      </w:pPr>
      <w:rPr>
        <w:rFonts w:hint="default"/>
        <w:lang w:val="zh-CN" w:eastAsia="zh-CN" w:bidi="zh-CN"/>
      </w:rPr>
    </w:lvl>
    <w:lvl w:ilvl="8" w:tentative="0">
      <w:start w:val="0"/>
      <w:numFmt w:val="bullet"/>
      <w:lvlText w:val="•"/>
      <w:lvlJc w:val="left"/>
      <w:pPr>
        <w:ind w:left="7560" w:hanging="689"/>
      </w:pPr>
      <w:rPr>
        <w:rFonts w:hint="default"/>
        <w:lang w:val="zh-CN" w:eastAsia="zh-CN" w:bidi="zh-CN"/>
      </w:rPr>
    </w:lvl>
  </w:abstractNum>
  <w:abstractNum w:abstractNumId="6">
    <w:nsid w:val="0053208E"/>
    <w:multiLevelType w:val="multilevel"/>
    <w:tmpl w:val="0053208E"/>
    <w:lvl w:ilvl="0" w:tentative="0">
      <w:start w:val="1"/>
      <w:numFmt w:val="decimal"/>
      <w:lvlText w:val="%1."/>
      <w:lvlJc w:val="left"/>
      <w:pPr>
        <w:ind w:left="943" w:hanging="36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1133" w:hanging="423"/>
      </w:pPr>
      <w:rPr>
        <w:rFonts w:hint="default"/>
        <w:w w:val="100"/>
        <w:lang w:val="zh-CN" w:eastAsia="zh-CN" w:bidi="zh-CN"/>
      </w:rPr>
    </w:lvl>
    <w:lvl w:ilvl="2" w:tentative="0">
      <w:start w:val="0"/>
      <w:numFmt w:val="bullet"/>
      <w:lvlText w:val="•"/>
      <w:lvlJc w:val="left"/>
      <w:pPr>
        <w:ind w:left="1420" w:hanging="423"/>
      </w:pPr>
      <w:rPr>
        <w:rFonts w:hint="default"/>
        <w:lang w:val="zh-CN" w:eastAsia="zh-CN" w:bidi="zh-CN"/>
      </w:rPr>
    </w:lvl>
    <w:lvl w:ilvl="3" w:tentative="0">
      <w:start w:val="0"/>
      <w:numFmt w:val="bullet"/>
      <w:lvlText w:val="•"/>
      <w:lvlJc w:val="left"/>
      <w:pPr>
        <w:ind w:left="2430" w:hanging="423"/>
      </w:pPr>
      <w:rPr>
        <w:rFonts w:hint="default"/>
        <w:lang w:val="zh-CN" w:eastAsia="zh-CN" w:bidi="zh-CN"/>
      </w:rPr>
    </w:lvl>
    <w:lvl w:ilvl="4" w:tentative="0">
      <w:start w:val="0"/>
      <w:numFmt w:val="bullet"/>
      <w:lvlText w:val="•"/>
      <w:lvlJc w:val="left"/>
      <w:pPr>
        <w:ind w:left="3440" w:hanging="423"/>
      </w:pPr>
      <w:rPr>
        <w:rFonts w:hint="default"/>
        <w:lang w:val="zh-CN" w:eastAsia="zh-CN" w:bidi="zh-CN"/>
      </w:rPr>
    </w:lvl>
    <w:lvl w:ilvl="5" w:tentative="0">
      <w:start w:val="0"/>
      <w:numFmt w:val="bullet"/>
      <w:lvlText w:val="•"/>
      <w:lvlJc w:val="left"/>
      <w:pPr>
        <w:ind w:left="4450" w:hanging="423"/>
      </w:pPr>
      <w:rPr>
        <w:rFonts w:hint="default"/>
        <w:lang w:val="zh-CN" w:eastAsia="zh-CN" w:bidi="zh-CN"/>
      </w:rPr>
    </w:lvl>
    <w:lvl w:ilvl="6" w:tentative="0">
      <w:start w:val="0"/>
      <w:numFmt w:val="bullet"/>
      <w:lvlText w:val="•"/>
      <w:lvlJc w:val="left"/>
      <w:pPr>
        <w:ind w:left="5460" w:hanging="423"/>
      </w:pPr>
      <w:rPr>
        <w:rFonts w:hint="default"/>
        <w:lang w:val="zh-CN" w:eastAsia="zh-CN" w:bidi="zh-CN"/>
      </w:rPr>
    </w:lvl>
    <w:lvl w:ilvl="7" w:tentative="0">
      <w:start w:val="0"/>
      <w:numFmt w:val="bullet"/>
      <w:lvlText w:val="•"/>
      <w:lvlJc w:val="left"/>
      <w:pPr>
        <w:ind w:left="6470" w:hanging="423"/>
      </w:pPr>
      <w:rPr>
        <w:rFonts w:hint="default"/>
        <w:lang w:val="zh-CN" w:eastAsia="zh-CN" w:bidi="zh-CN"/>
      </w:rPr>
    </w:lvl>
    <w:lvl w:ilvl="8" w:tentative="0">
      <w:start w:val="0"/>
      <w:numFmt w:val="bullet"/>
      <w:lvlText w:val="•"/>
      <w:lvlJc w:val="left"/>
      <w:pPr>
        <w:ind w:left="7480" w:hanging="423"/>
      </w:pPr>
      <w:rPr>
        <w:rFonts w:hint="default"/>
        <w:lang w:val="zh-CN" w:eastAsia="zh-CN" w:bidi="zh-CN"/>
      </w:rPr>
    </w:lvl>
  </w:abstractNum>
  <w:abstractNum w:abstractNumId="7">
    <w:nsid w:val="0248C179"/>
    <w:multiLevelType w:val="multilevel"/>
    <w:tmpl w:val="0248C179"/>
    <w:lvl w:ilvl="0" w:tentative="0">
      <w:start w:val="7"/>
      <w:numFmt w:val="decimal"/>
      <w:lvlText w:val="%1."/>
      <w:lvlJc w:val="left"/>
      <w:pPr>
        <w:ind w:left="823" w:hanging="24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1784" w:hanging="370"/>
      </w:pPr>
      <w:rPr>
        <w:rFonts w:hint="default"/>
        <w:lang w:val="zh-CN" w:eastAsia="zh-CN" w:bidi="zh-CN"/>
      </w:rPr>
    </w:lvl>
    <w:lvl w:ilvl="3" w:tentative="0">
      <w:start w:val="0"/>
      <w:numFmt w:val="bullet"/>
      <w:lvlText w:val="•"/>
      <w:lvlJc w:val="left"/>
      <w:pPr>
        <w:ind w:left="2748" w:hanging="370"/>
      </w:pPr>
      <w:rPr>
        <w:rFonts w:hint="default"/>
        <w:lang w:val="zh-CN" w:eastAsia="zh-CN" w:bidi="zh-CN"/>
      </w:rPr>
    </w:lvl>
    <w:lvl w:ilvl="4" w:tentative="0">
      <w:start w:val="0"/>
      <w:numFmt w:val="bullet"/>
      <w:lvlText w:val="•"/>
      <w:lvlJc w:val="left"/>
      <w:pPr>
        <w:ind w:left="3713" w:hanging="370"/>
      </w:pPr>
      <w:rPr>
        <w:rFonts w:hint="default"/>
        <w:lang w:val="zh-CN" w:eastAsia="zh-CN" w:bidi="zh-CN"/>
      </w:rPr>
    </w:lvl>
    <w:lvl w:ilvl="5" w:tentative="0">
      <w:start w:val="0"/>
      <w:numFmt w:val="bullet"/>
      <w:lvlText w:val="•"/>
      <w:lvlJc w:val="left"/>
      <w:pPr>
        <w:ind w:left="4677" w:hanging="370"/>
      </w:pPr>
      <w:rPr>
        <w:rFonts w:hint="default"/>
        <w:lang w:val="zh-CN" w:eastAsia="zh-CN" w:bidi="zh-CN"/>
      </w:rPr>
    </w:lvl>
    <w:lvl w:ilvl="6" w:tentative="0">
      <w:start w:val="0"/>
      <w:numFmt w:val="bullet"/>
      <w:lvlText w:val="•"/>
      <w:lvlJc w:val="left"/>
      <w:pPr>
        <w:ind w:left="5642" w:hanging="370"/>
      </w:pPr>
      <w:rPr>
        <w:rFonts w:hint="default"/>
        <w:lang w:val="zh-CN" w:eastAsia="zh-CN" w:bidi="zh-CN"/>
      </w:rPr>
    </w:lvl>
    <w:lvl w:ilvl="7" w:tentative="0">
      <w:start w:val="0"/>
      <w:numFmt w:val="bullet"/>
      <w:lvlText w:val="•"/>
      <w:lvlJc w:val="left"/>
      <w:pPr>
        <w:ind w:left="6606" w:hanging="370"/>
      </w:pPr>
      <w:rPr>
        <w:rFonts w:hint="default"/>
        <w:lang w:val="zh-CN" w:eastAsia="zh-CN" w:bidi="zh-CN"/>
      </w:rPr>
    </w:lvl>
    <w:lvl w:ilvl="8" w:tentative="0">
      <w:start w:val="0"/>
      <w:numFmt w:val="bullet"/>
      <w:lvlText w:val="•"/>
      <w:lvlJc w:val="left"/>
      <w:pPr>
        <w:ind w:left="7571" w:hanging="370"/>
      </w:pPr>
      <w:rPr>
        <w:rFonts w:hint="default"/>
        <w:lang w:val="zh-CN" w:eastAsia="zh-CN" w:bidi="zh-CN"/>
      </w:rPr>
    </w:lvl>
  </w:abstractNum>
  <w:abstractNum w:abstractNumId="8">
    <w:nsid w:val="038000C8"/>
    <w:multiLevelType w:val="multilevel"/>
    <w:tmpl w:val="038000C8"/>
    <w:lvl w:ilvl="0" w:tentative="0">
      <w:start w:val="1"/>
      <w:numFmt w:val="decimal"/>
      <w:lvlText w:val="%1"/>
      <w:lvlJc w:val="center"/>
      <w:pPr>
        <w:ind w:left="420" w:hanging="420"/>
      </w:pPr>
      <w:rPr>
        <w:rFonts w:hint="eastAsia"/>
        <w:b w:val="0"/>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A865F7B"/>
    <w:multiLevelType w:val="multilevel"/>
    <w:tmpl w:val="0A865F7B"/>
    <w:lvl w:ilvl="0" w:tentative="0">
      <w:start w:val="1"/>
      <w:numFmt w:val="decimal"/>
      <w:lvlText w:val="%1）"/>
      <w:lvlJc w:val="left"/>
      <w:pPr>
        <w:tabs>
          <w:tab w:val="left" w:pos="907"/>
        </w:tabs>
        <w:ind w:left="907" w:hanging="487"/>
      </w:pPr>
      <w:rPr>
        <w:rFonts w:hint="eastAsia"/>
      </w:rPr>
    </w:lvl>
    <w:lvl w:ilvl="1" w:tentative="0">
      <w:start w:val="3"/>
      <w:numFmt w:val="japaneseCounting"/>
      <w:lvlText w:val="%2、"/>
      <w:lvlJc w:val="left"/>
      <w:pPr>
        <w:tabs>
          <w:tab w:val="left" w:pos="900"/>
        </w:tabs>
        <w:ind w:left="900" w:hanging="480"/>
      </w:pPr>
      <w:rPr>
        <w:rFonts w:hint="eastAsia"/>
      </w:rPr>
    </w:lvl>
    <w:lvl w:ilvl="2" w:tentative="0">
      <w:start w:val="1"/>
      <w:numFmt w:val="decimal"/>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FA9504"/>
    <w:multiLevelType w:val="singleLevel"/>
    <w:tmpl w:val="24FA9504"/>
    <w:lvl w:ilvl="0" w:tentative="0">
      <w:start w:val="4"/>
      <w:numFmt w:val="chineseCounting"/>
      <w:suff w:val="nothing"/>
      <w:lvlText w:val="%1、"/>
      <w:lvlJc w:val="left"/>
      <w:rPr>
        <w:rFonts w:hint="eastAsia"/>
      </w:rPr>
    </w:lvl>
  </w:abstractNum>
  <w:abstractNum w:abstractNumId="11">
    <w:nsid w:val="25B654F3"/>
    <w:multiLevelType w:val="multilevel"/>
    <w:tmpl w:val="25B654F3"/>
    <w:lvl w:ilvl="0" w:tentative="0">
      <w:start w:val="4"/>
      <w:numFmt w:val="decimal"/>
      <w:lvlText w:val="%1"/>
      <w:lvlJc w:val="left"/>
      <w:pPr>
        <w:ind w:left="580" w:hanging="370"/>
      </w:pPr>
      <w:rPr>
        <w:rFonts w:hint="default"/>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370"/>
      </w:pPr>
      <w:rPr>
        <w:rFonts w:hint="default"/>
        <w:lang w:val="zh-CN" w:eastAsia="zh-CN" w:bidi="zh-CN"/>
      </w:rPr>
    </w:lvl>
    <w:lvl w:ilvl="3" w:tentative="0">
      <w:start w:val="0"/>
      <w:numFmt w:val="bullet"/>
      <w:lvlText w:val="•"/>
      <w:lvlJc w:val="left"/>
      <w:pPr>
        <w:ind w:left="3256" w:hanging="370"/>
      </w:pPr>
      <w:rPr>
        <w:rFonts w:hint="default"/>
        <w:lang w:val="zh-CN" w:eastAsia="zh-CN" w:bidi="zh-CN"/>
      </w:rPr>
    </w:lvl>
    <w:lvl w:ilvl="4" w:tentative="0">
      <w:start w:val="0"/>
      <w:numFmt w:val="bullet"/>
      <w:lvlText w:val="•"/>
      <w:lvlJc w:val="left"/>
      <w:pPr>
        <w:ind w:left="4148" w:hanging="370"/>
      </w:pPr>
      <w:rPr>
        <w:rFonts w:hint="default"/>
        <w:lang w:val="zh-CN" w:eastAsia="zh-CN" w:bidi="zh-CN"/>
      </w:rPr>
    </w:lvl>
    <w:lvl w:ilvl="5" w:tentative="0">
      <w:start w:val="0"/>
      <w:numFmt w:val="bullet"/>
      <w:lvlText w:val="•"/>
      <w:lvlJc w:val="left"/>
      <w:pPr>
        <w:ind w:left="5040" w:hanging="370"/>
      </w:pPr>
      <w:rPr>
        <w:rFonts w:hint="default"/>
        <w:lang w:val="zh-CN" w:eastAsia="zh-CN" w:bidi="zh-CN"/>
      </w:rPr>
    </w:lvl>
    <w:lvl w:ilvl="6" w:tentative="0">
      <w:start w:val="0"/>
      <w:numFmt w:val="bullet"/>
      <w:lvlText w:val="•"/>
      <w:lvlJc w:val="left"/>
      <w:pPr>
        <w:ind w:left="5932" w:hanging="370"/>
      </w:pPr>
      <w:rPr>
        <w:rFonts w:hint="default"/>
        <w:lang w:val="zh-CN" w:eastAsia="zh-CN" w:bidi="zh-CN"/>
      </w:rPr>
    </w:lvl>
    <w:lvl w:ilvl="7" w:tentative="0">
      <w:start w:val="0"/>
      <w:numFmt w:val="bullet"/>
      <w:lvlText w:val="•"/>
      <w:lvlJc w:val="left"/>
      <w:pPr>
        <w:ind w:left="6824" w:hanging="370"/>
      </w:pPr>
      <w:rPr>
        <w:rFonts w:hint="default"/>
        <w:lang w:val="zh-CN" w:eastAsia="zh-CN" w:bidi="zh-CN"/>
      </w:rPr>
    </w:lvl>
    <w:lvl w:ilvl="8" w:tentative="0">
      <w:start w:val="0"/>
      <w:numFmt w:val="bullet"/>
      <w:lvlText w:val="•"/>
      <w:lvlJc w:val="left"/>
      <w:pPr>
        <w:ind w:left="7716" w:hanging="370"/>
      </w:pPr>
      <w:rPr>
        <w:rFonts w:hint="default"/>
        <w:lang w:val="zh-CN" w:eastAsia="zh-CN" w:bidi="zh-CN"/>
      </w:rPr>
    </w:lvl>
  </w:abstractNum>
  <w:abstractNum w:abstractNumId="12">
    <w:nsid w:val="272A1EE0"/>
    <w:multiLevelType w:val="multilevel"/>
    <w:tmpl w:val="272A1EE0"/>
    <w:lvl w:ilvl="0" w:tentative="0">
      <w:start w:val="1"/>
      <w:numFmt w:val="lowerLetter"/>
      <w:pStyle w:val="45"/>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13">
    <w:nsid w:val="2A8F537B"/>
    <w:multiLevelType w:val="multilevel"/>
    <w:tmpl w:val="2A8F537B"/>
    <w:lvl w:ilvl="0" w:tentative="0">
      <w:start w:val="9"/>
      <w:numFmt w:val="decimal"/>
      <w:lvlText w:val="%1"/>
      <w:lvlJc w:val="left"/>
      <w:pPr>
        <w:ind w:left="1412" w:hanging="370"/>
      </w:pPr>
      <w:rPr>
        <w:rFonts w:hint="default"/>
        <w:lang w:val="zh-CN" w:eastAsia="zh-CN" w:bidi="zh-CN"/>
      </w:rPr>
    </w:lvl>
    <w:lvl w:ilvl="1" w:tentative="0">
      <w:start w:val="1"/>
      <w:numFmt w:val="decimal"/>
      <w:lvlText w:val="%1.%2"/>
      <w:lvlJc w:val="left"/>
      <w:pPr>
        <w:ind w:left="1412" w:hanging="370"/>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1674" w:hanging="632"/>
      </w:pPr>
      <w:rPr>
        <w:rFonts w:hint="default" w:ascii="宋体" w:hAnsi="宋体" w:eastAsia="宋体" w:cs="宋体"/>
        <w:w w:val="100"/>
        <w:sz w:val="21"/>
        <w:szCs w:val="21"/>
        <w:lang w:val="zh-CN" w:eastAsia="zh-CN" w:bidi="zh-CN"/>
      </w:rPr>
    </w:lvl>
    <w:lvl w:ilvl="3" w:tentative="0">
      <w:start w:val="0"/>
      <w:numFmt w:val="bullet"/>
      <w:lvlText w:val="•"/>
      <w:lvlJc w:val="left"/>
      <w:pPr>
        <w:ind w:left="2657" w:hanging="632"/>
      </w:pPr>
      <w:rPr>
        <w:rFonts w:hint="default"/>
        <w:lang w:val="zh-CN" w:eastAsia="zh-CN" w:bidi="zh-CN"/>
      </w:rPr>
    </w:lvl>
    <w:lvl w:ilvl="4" w:tentative="0">
      <w:start w:val="0"/>
      <w:numFmt w:val="bullet"/>
      <w:lvlText w:val="•"/>
      <w:lvlJc w:val="left"/>
      <w:pPr>
        <w:ind w:left="3635" w:hanging="632"/>
      </w:pPr>
      <w:rPr>
        <w:rFonts w:hint="default"/>
        <w:lang w:val="zh-CN" w:eastAsia="zh-CN" w:bidi="zh-CN"/>
      </w:rPr>
    </w:lvl>
    <w:lvl w:ilvl="5" w:tentative="0">
      <w:start w:val="0"/>
      <w:numFmt w:val="bullet"/>
      <w:lvlText w:val="•"/>
      <w:lvlJc w:val="left"/>
      <w:pPr>
        <w:ind w:left="4612" w:hanging="632"/>
      </w:pPr>
      <w:rPr>
        <w:rFonts w:hint="default"/>
        <w:lang w:val="zh-CN" w:eastAsia="zh-CN" w:bidi="zh-CN"/>
      </w:rPr>
    </w:lvl>
    <w:lvl w:ilvl="6" w:tentative="0">
      <w:start w:val="0"/>
      <w:numFmt w:val="bullet"/>
      <w:lvlText w:val="•"/>
      <w:lvlJc w:val="left"/>
      <w:pPr>
        <w:ind w:left="5590" w:hanging="632"/>
      </w:pPr>
      <w:rPr>
        <w:rFonts w:hint="default"/>
        <w:lang w:val="zh-CN" w:eastAsia="zh-CN" w:bidi="zh-CN"/>
      </w:rPr>
    </w:lvl>
    <w:lvl w:ilvl="7" w:tentative="0">
      <w:start w:val="0"/>
      <w:numFmt w:val="bullet"/>
      <w:lvlText w:val="•"/>
      <w:lvlJc w:val="left"/>
      <w:pPr>
        <w:ind w:left="6567" w:hanging="632"/>
      </w:pPr>
      <w:rPr>
        <w:rFonts w:hint="default"/>
        <w:lang w:val="zh-CN" w:eastAsia="zh-CN" w:bidi="zh-CN"/>
      </w:rPr>
    </w:lvl>
    <w:lvl w:ilvl="8" w:tentative="0">
      <w:start w:val="0"/>
      <w:numFmt w:val="bullet"/>
      <w:lvlText w:val="•"/>
      <w:lvlJc w:val="left"/>
      <w:pPr>
        <w:ind w:left="7545" w:hanging="632"/>
      </w:pPr>
      <w:rPr>
        <w:rFonts w:hint="default"/>
        <w:lang w:val="zh-CN" w:eastAsia="zh-CN" w:bidi="zh-CN"/>
      </w:rPr>
    </w:lvl>
  </w:abstractNum>
  <w:abstractNum w:abstractNumId="14">
    <w:nsid w:val="4C1BAE26"/>
    <w:multiLevelType w:val="multilevel"/>
    <w:tmpl w:val="4C1BAE26"/>
    <w:lvl w:ilvl="0" w:tentative="0">
      <w:start w:val="20"/>
      <w:numFmt w:val="decimal"/>
      <w:lvlText w:val="%1"/>
      <w:lvlJc w:val="left"/>
      <w:pPr>
        <w:ind w:left="580" w:hanging="526"/>
      </w:pPr>
      <w:rPr>
        <w:rFonts w:hint="default"/>
        <w:lang w:val="zh-CN" w:eastAsia="zh-CN" w:bidi="zh-CN"/>
      </w:rPr>
    </w:lvl>
    <w:lvl w:ilvl="1" w:tentative="0">
      <w:start w:val="1"/>
      <w:numFmt w:val="decimal"/>
      <w:lvlText w:val="%1.%2"/>
      <w:lvlJc w:val="left"/>
      <w:pPr>
        <w:ind w:left="580" w:hanging="526"/>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580" w:hanging="742"/>
      </w:pPr>
      <w:rPr>
        <w:rFonts w:hint="default" w:ascii="微软雅黑" w:hAnsi="微软雅黑" w:eastAsia="微软雅黑" w:cs="微软雅黑"/>
        <w:b/>
        <w:bCs/>
        <w:w w:val="81"/>
        <w:sz w:val="21"/>
        <w:szCs w:val="21"/>
        <w:lang w:val="zh-CN" w:eastAsia="zh-CN" w:bidi="zh-CN"/>
      </w:rPr>
    </w:lvl>
    <w:lvl w:ilvl="3" w:tentative="0">
      <w:start w:val="0"/>
      <w:numFmt w:val="bullet"/>
      <w:lvlText w:val="•"/>
      <w:lvlJc w:val="left"/>
      <w:pPr>
        <w:ind w:left="3256" w:hanging="742"/>
      </w:pPr>
      <w:rPr>
        <w:rFonts w:hint="default"/>
        <w:lang w:val="zh-CN" w:eastAsia="zh-CN" w:bidi="zh-CN"/>
      </w:rPr>
    </w:lvl>
    <w:lvl w:ilvl="4" w:tentative="0">
      <w:start w:val="0"/>
      <w:numFmt w:val="bullet"/>
      <w:lvlText w:val="•"/>
      <w:lvlJc w:val="left"/>
      <w:pPr>
        <w:ind w:left="4148" w:hanging="742"/>
      </w:pPr>
      <w:rPr>
        <w:rFonts w:hint="default"/>
        <w:lang w:val="zh-CN" w:eastAsia="zh-CN" w:bidi="zh-CN"/>
      </w:rPr>
    </w:lvl>
    <w:lvl w:ilvl="5" w:tentative="0">
      <w:start w:val="0"/>
      <w:numFmt w:val="bullet"/>
      <w:lvlText w:val="•"/>
      <w:lvlJc w:val="left"/>
      <w:pPr>
        <w:ind w:left="5040" w:hanging="742"/>
      </w:pPr>
      <w:rPr>
        <w:rFonts w:hint="default"/>
        <w:lang w:val="zh-CN" w:eastAsia="zh-CN" w:bidi="zh-CN"/>
      </w:rPr>
    </w:lvl>
    <w:lvl w:ilvl="6" w:tentative="0">
      <w:start w:val="0"/>
      <w:numFmt w:val="bullet"/>
      <w:lvlText w:val="•"/>
      <w:lvlJc w:val="left"/>
      <w:pPr>
        <w:ind w:left="5932" w:hanging="742"/>
      </w:pPr>
      <w:rPr>
        <w:rFonts w:hint="default"/>
        <w:lang w:val="zh-CN" w:eastAsia="zh-CN" w:bidi="zh-CN"/>
      </w:rPr>
    </w:lvl>
    <w:lvl w:ilvl="7" w:tentative="0">
      <w:start w:val="0"/>
      <w:numFmt w:val="bullet"/>
      <w:lvlText w:val="•"/>
      <w:lvlJc w:val="left"/>
      <w:pPr>
        <w:ind w:left="6824" w:hanging="742"/>
      </w:pPr>
      <w:rPr>
        <w:rFonts w:hint="default"/>
        <w:lang w:val="zh-CN" w:eastAsia="zh-CN" w:bidi="zh-CN"/>
      </w:rPr>
    </w:lvl>
    <w:lvl w:ilvl="8" w:tentative="0">
      <w:start w:val="0"/>
      <w:numFmt w:val="bullet"/>
      <w:lvlText w:val="•"/>
      <w:lvlJc w:val="left"/>
      <w:pPr>
        <w:ind w:left="7716" w:hanging="742"/>
      </w:pPr>
      <w:rPr>
        <w:rFonts w:hint="default"/>
        <w:lang w:val="zh-CN" w:eastAsia="zh-CN" w:bidi="zh-CN"/>
      </w:rPr>
    </w:lvl>
  </w:abstractNum>
  <w:abstractNum w:abstractNumId="15">
    <w:nsid w:val="4D4DC07F"/>
    <w:multiLevelType w:val="multilevel"/>
    <w:tmpl w:val="4D4DC07F"/>
    <w:lvl w:ilvl="0" w:tentative="0">
      <w:start w:val="13"/>
      <w:numFmt w:val="decimal"/>
      <w:lvlText w:val="%1"/>
      <w:lvlJc w:val="left"/>
      <w:pPr>
        <w:ind w:left="1537" w:hanging="497"/>
      </w:pPr>
      <w:rPr>
        <w:rFonts w:hint="default"/>
        <w:lang w:val="zh-CN" w:eastAsia="zh-CN" w:bidi="zh-CN"/>
      </w:rPr>
    </w:lvl>
    <w:lvl w:ilvl="1" w:tentative="0">
      <w:start w:val="1"/>
      <w:numFmt w:val="decimal"/>
      <w:lvlText w:val="%1.%2"/>
      <w:lvlJc w:val="left"/>
      <w:pPr>
        <w:ind w:left="1537" w:hanging="497"/>
      </w:pPr>
      <w:rPr>
        <w:rFonts w:hint="default" w:ascii="宋体" w:hAnsi="宋体" w:eastAsia="宋体" w:cs="宋体"/>
        <w:w w:val="100"/>
        <w:sz w:val="21"/>
        <w:szCs w:val="21"/>
        <w:lang w:val="zh-CN" w:eastAsia="zh-CN" w:bidi="zh-CN"/>
      </w:rPr>
    </w:lvl>
    <w:lvl w:ilvl="2" w:tentative="0">
      <w:start w:val="0"/>
      <w:numFmt w:val="bullet"/>
      <w:lvlText w:val="•"/>
      <w:lvlJc w:val="left"/>
      <w:pPr>
        <w:ind w:left="3132" w:hanging="497"/>
      </w:pPr>
      <w:rPr>
        <w:rFonts w:hint="default"/>
        <w:lang w:val="zh-CN" w:eastAsia="zh-CN" w:bidi="zh-CN"/>
      </w:rPr>
    </w:lvl>
    <w:lvl w:ilvl="3" w:tentative="0">
      <w:start w:val="0"/>
      <w:numFmt w:val="bullet"/>
      <w:lvlText w:val="•"/>
      <w:lvlJc w:val="left"/>
      <w:pPr>
        <w:ind w:left="3928" w:hanging="497"/>
      </w:pPr>
      <w:rPr>
        <w:rFonts w:hint="default"/>
        <w:lang w:val="zh-CN" w:eastAsia="zh-CN" w:bidi="zh-CN"/>
      </w:rPr>
    </w:lvl>
    <w:lvl w:ilvl="4" w:tentative="0">
      <w:start w:val="0"/>
      <w:numFmt w:val="bullet"/>
      <w:lvlText w:val="•"/>
      <w:lvlJc w:val="left"/>
      <w:pPr>
        <w:ind w:left="4724" w:hanging="497"/>
      </w:pPr>
      <w:rPr>
        <w:rFonts w:hint="default"/>
        <w:lang w:val="zh-CN" w:eastAsia="zh-CN" w:bidi="zh-CN"/>
      </w:rPr>
    </w:lvl>
    <w:lvl w:ilvl="5" w:tentative="0">
      <w:start w:val="0"/>
      <w:numFmt w:val="bullet"/>
      <w:lvlText w:val="•"/>
      <w:lvlJc w:val="left"/>
      <w:pPr>
        <w:ind w:left="5520" w:hanging="497"/>
      </w:pPr>
      <w:rPr>
        <w:rFonts w:hint="default"/>
        <w:lang w:val="zh-CN" w:eastAsia="zh-CN" w:bidi="zh-CN"/>
      </w:rPr>
    </w:lvl>
    <w:lvl w:ilvl="6" w:tentative="0">
      <w:start w:val="0"/>
      <w:numFmt w:val="bullet"/>
      <w:lvlText w:val="•"/>
      <w:lvlJc w:val="left"/>
      <w:pPr>
        <w:ind w:left="6316" w:hanging="497"/>
      </w:pPr>
      <w:rPr>
        <w:rFonts w:hint="default"/>
        <w:lang w:val="zh-CN" w:eastAsia="zh-CN" w:bidi="zh-CN"/>
      </w:rPr>
    </w:lvl>
    <w:lvl w:ilvl="7" w:tentative="0">
      <w:start w:val="0"/>
      <w:numFmt w:val="bullet"/>
      <w:lvlText w:val="•"/>
      <w:lvlJc w:val="left"/>
      <w:pPr>
        <w:ind w:left="7112" w:hanging="497"/>
      </w:pPr>
      <w:rPr>
        <w:rFonts w:hint="default"/>
        <w:lang w:val="zh-CN" w:eastAsia="zh-CN" w:bidi="zh-CN"/>
      </w:rPr>
    </w:lvl>
    <w:lvl w:ilvl="8" w:tentative="0">
      <w:start w:val="0"/>
      <w:numFmt w:val="bullet"/>
      <w:lvlText w:val="•"/>
      <w:lvlJc w:val="left"/>
      <w:pPr>
        <w:ind w:left="7908" w:hanging="497"/>
      </w:pPr>
      <w:rPr>
        <w:rFonts w:hint="default"/>
        <w:lang w:val="zh-CN" w:eastAsia="zh-CN" w:bidi="zh-CN"/>
      </w:rPr>
    </w:lvl>
  </w:abstractNum>
  <w:abstractNum w:abstractNumId="16">
    <w:nsid w:val="59ADCABA"/>
    <w:multiLevelType w:val="multilevel"/>
    <w:tmpl w:val="59ADCABA"/>
    <w:lvl w:ilvl="0" w:tentative="0">
      <w:start w:val="1"/>
      <w:numFmt w:val="decimal"/>
      <w:lvlText w:val="%1"/>
      <w:lvlJc w:val="left"/>
      <w:pPr>
        <w:ind w:left="1422" w:hanging="423"/>
      </w:pPr>
      <w:rPr>
        <w:rFonts w:hint="default"/>
        <w:lang w:val="zh-CN" w:eastAsia="zh-CN" w:bidi="zh-CN"/>
      </w:rPr>
    </w:lvl>
    <w:lvl w:ilvl="1" w:tentative="0">
      <w:start w:val="1"/>
      <w:numFmt w:val="decimal"/>
      <w:lvlText w:val="%1.%2"/>
      <w:lvlJc w:val="left"/>
      <w:pPr>
        <w:ind w:left="1422" w:hanging="423"/>
      </w:pPr>
      <w:rPr>
        <w:rFonts w:hint="default" w:ascii="宋体" w:hAnsi="宋体" w:eastAsia="宋体" w:cs="宋体"/>
        <w:w w:val="100"/>
        <w:sz w:val="21"/>
        <w:szCs w:val="21"/>
        <w:lang w:val="zh-CN" w:eastAsia="zh-CN" w:bidi="zh-CN"/>
      </w:rPr>
    </w:lvl>
    <w:lvl w:ilvl="2" w:tentative="0">
      <w:start w:val="0"/>
      <w:numFmt w:val="bullet"/>
      <w:lvlText w:val="•"/>
      <w:lvlJc w:val="left"/>
      <w:pPr>
        <w:ind w:left="3036" w:hanging="423"/>
      </w:pPr>
      <w:rPr>
        <w:rFonts w:hint="default"/>
        <w:lang w:val="zh-CN" w:eastAsia="zh-CN" w:bidi="zh-CN"/>
      </w:rPr>
    </w:lvl>
    <w:lvl w:ilvl="3" w:tentative="0">
      <w:start w:val="0"/>
      <w:numFmt w:val="bullet"/>
      <w:lvlText w:val="•"/>
      <w:lvlJc w:val="left"/>
      <w:pPr>
        <w:ind w:left="3844" w:hanging="423"/>
      </w:pPr>
      <w:rPr>
        <w:rFonts w:hint="default"/>
        <w:lang w:val="zh-CN" w:eastAsia="zh-CN" w:bidi="zh-CN"/>
      </w:rPr>
    </w:lvl>
    <w:lvl w:ilvl="4" w:tentative="0">
      <w:start w:val="0"/>
      <w:numFmt w:val="bullet"/>
      <w:lvlText w:val="•"/>
      <w:lvlJc w:val="left"/>
      <w:pPr>
        <w:ind w:left="4652" w:hanging="423"/>
      </w:pPr>
      <w:rPr>
        <w:rFonts w:hint="default"/>
        <w:lang w:val="zh-CN" w:eastAsia="zh-CN" w:bidi="zh-CN"/>
      </w:rPr>
    </w:lvl>
    <w:lvl w:ilvl="5" w:tentative="0">
      <w:start w:val="0"/>
      <w:numFmt w:val="bullet"/>
      <w:lvlText w:val="•"/>
      <w:lvlJc w:val="left"/>
      <w:pPr>
        <w:ind w:left="5460" w:hanging="423"/>
      </w:pPr>
      <w:rPr>
        <w:rFonts w:hint="default"/>
        <w:lang w:val="zh-CN" w:eastAsia="zh-CN" w:bidi="zh-CN"/>
      </w:rPr>
    </w:lvl>
    <w:lvl w:ilvl="6" w:tentative="0">
      <w:start w:val="0"/>
      <w:numFmt w:val="bullet"/>
      <w:lvlText w:val="•"/>
      <w:lvlJc w:val="left"/>
      <w:pPr>
        <w:ind w:left="6268" w:hanging="423"/>
      </w:pPr>
      <w:rPr>
        <w:rFonts w:hint="default"/>
        <w:lang w:val="zh-CN" w:eastAsia="zh-CN" w:bidi="zh-CN"/>
      </w:rPr>
    </w:lvl>
    <w:lvl w:ilvl="7" w:tentative="0">
      <w:start w:val="0"/>
      <w:numFmt w:val="bullet"/>
      <w:lvlText w:val="•"/>
      <w:lvlJc w:val="left"/>
      <w:pPr>
        <w:ind w:left="7076" w:hanging="423"/>
      </w:pPr>
      <w:rPr>
        <w:rFonts w:hint="default"/>
        <w:lang w:val="zh-CN" w:eastAsia="zh-CN" w:bidi="zh-CN"/>
      </w:rPr>
    </w:lvl>
    <w:lvl w:ilvl="8" w:tentative="0">
      <w:start w:val="0"/>
      <w:numFmt w:val="bullet"/>
      <w:lvlText w:val="•"/>
      <w:lvlJc w:val="left"/>
      <w:pPr>
        <w:ind w:left="7884" w:hanging="423"/>
      </w:pPr>
      <w:rPr>
        <w:rFonts w:hint="default"/>
        <w:lang w:val="zh-CN" w:eastAsia="zh-CN" w:bidi="zh-CN"/>
      </w:rPr>
    </w:lvl>
  </w:abstractNum>
  <w:abstractNum w:abstractNumId="17">
    <w:nsid w:val="5A241D34"/>
    <w:multiLevelType w:val="multilevel"/>
    <w:tmpl w:val="5A241D34"/>
    <w:lvl w:ilvl="0" w:tentative="0">
      <w:start w:val="10"/>
      <w:numFmt w:val="decimal"/>
      <w:lvlText w:val="%1"/>
      <w:lvlJc w:val="left"/>
      <w:pPr>
        <w:ind w:left="1530" w:hanging="528"/>
      </w:pPr>
      <w:rPr>
        <w:rFonts w:hint="default"/>
        <w:lang w:val="zh-CN" w:eastAsia="zh-CN" w:bidi="zh-CN"/>
      </w:rPr>
    </w:lvl>
    <w:lvl w:ilvl="1" w:tentative="0">
      <w:start w:val="1"/>
      <w:numFmt w:val="decimal"/>
      <w:lvlText w:val="%1.%2"/>
      <w:lvlJc w:val="left"/>
      <w:pPr>
        <w:ind w:left="1530" w:hanging="528"/>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1736" w:hanging="737"/>
      </w:pPr>
      <w:rPr>
        <w:rFonts w:hint="default"/>
        <w:w w:val="100"/>
        <w:lang w:val="zh-CN" w:eastAsia="zh-CN" w:bidi="zh-CN"/>
      </w:rPr>
    </w:lvl>
    <w:lvl w:ilvl="3" w:tentative="0">
      <w:start w:val="0"/>
      <w:numFmt w:val="bullet"/>
      <w:lvlText w:val="•"/>
      <w:lvlJc w:val="left"/>
      <w:pPr>
        <w:ind w:left="2710" w:hanging="737"/>
      </w:pPr>
      <w:rPr>
        <w:rFonts w:hint="default"/>
        <w:lang w:val="zh-CN" w:eastAsia="zh-CN" w:bidi="zh-CN"/>
      </w:rPr>
    </w:lvl>
    <w:lvl w:ilvl="4" w:tentative="0">
      <w:start w:val="0"/>
      <w:numFmt w:val="bullet"/>
      <w:lvlText w:val="•"/>
      <w:lvlJc w:val="left"/>
      <w:pPr>
        <w:ind w:left="3680" w:hanging="737"/>
      </w:pPr>
      <w:rPr>
        <w:rFonts w:hint="default"/>
        <w:lang w:val="zh-CN" w:eastAsia="zh-CN" w:bidi="zh-CN"/>
      </w:rPr>
    </w:lvl>
    <w:lvl w:ilvl="5" w:tentative="0">
      <w:start w:val="0"/>
      <w:numFmt w:val="bullet"/>
      <w:lvlText w:val="•"/>
      <w:lvlJc w:val="left"/>
      <w:pPr>
        <w:ind w:left="4650" w:hanging="737"/>
      </w:pPr>
      <w:rPr>
        <w:rFonts w:hint="default"/>
        <w:lang w:val="zh-CN" w:eastAsia="zh-CN" w:bidi="zh-CN"/>
      </w:rPr>
    </w:lvl>
    <w:lvl w:ilvl="6" w:tentative="0">
      <w:start w:val="0"/>
      <w:numFmt w:val="bullet"/>
      <w:lvlText w:val="•"/>
      <w:lvlJc w:val="left"/>
      <w:pPr>
        <w:ind w:left="5620" w:hanging="737"/>
      </w:pPr>
      <w:rPr>
        <w:rFonts w:hint="default"/>
        <w:lang w:val="zh-CN" w:eastAsia="zh-CN" w:bidi="zh-CN"/>
      </w:rPr>
    </w:lvl>
    <w:lvl w:ilvl="7" w:tentative="0">
      <w:start w:val="0"/>
      <w:numFmt w:val="bullet"/>
      <w:lvlText w:val="•"/>
      <w:lvlJc w:val="left"/>
      <w:pPr>
        <w:ind w:left="6590" w:hanging="737"/>
      </w:pPr>
      <w:rPr>
        <w:rFonts w:hint="default"/>
        <w:lang w:val="zh-CN" w:eastAsia="zh-CN" w:bidi="zh-CN"/>
      </w:rPr>
    </w:lvl>
    <w:lvl w:ilvl="8" w:tentative="0">
      <w:start w:val="0"/>
      <w:numFmt w:val="bullet"/>
      <w:lvlText w:val="•"/>
      <w:lvlJc w:val="left"/>
      <w:pPr>
        <w:ind w:left="7560" w:hanging="737"/>
      </w:pPr>
      <w:rPr>
        <w:rFonts w:hint="default"/>
        <w:lang w:val="zh-CN" w:eastAsia="zh-CN" w:bidi="zh-CN"/>
      </w:rPr>
    </w:lvl>
  </w:abstractNum>
  <w:abstractNum w:abstractNumId="18">
    <w:nsid w:val="60382F6E"/>
    <w:multiLevelType w:val="multilevel"/>
    <w:tmpl w:val="60382F6E"/>
    <w:lvl w:ilvl="0" w:tentative="0">
      <w:start w:val="22"/>
      <w:numFmt w:val="decimal"/>
      <w:lvlText w:val="%1"/>
      <w:lvlJc w:val="left"/>
      <w:pPr>
        <w:ind w:left="580" w:hanging="528"/>
      </w:pPr>
      <w:rPr>
        <w:rFonts w:hint="default"/>
        <w:lang w:val="zh-CN" w:eastAsia="zh-CN" w:bidi="zh-CN"/>
      </w:rPr>
    </w:lvl>
    <w:lvl w:ilvl="1" w:tentative="0">
      <w:start w:val="1"/>
      <w:numFmt w:val="decimal"/>
      <w:lvlText w:val="%1.%2"/>
      <w:lvlJc w:val="left"/>
      <w:pPr>
        <w:ind w:left="552" w:hanging="528"/>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528"/>
      </w:pPr>
      <w:rPr>
        <w:rFonts w:hint="default"/>
        <w:lang w:val="zh-CN" w:eastAsia="zh-CN" w:bidi="zh-CN"/>
      </w:rPr>
    </w:lvl>
    <w:lvl w:ilvl="3" w:tentative="0">
      <w:start w:val="0"/>
      <w:numFmt w:val="bullet"/>
      <w:lvlText w:val="•"/>
      <w:lvlJc w:val="left"/>
      <w:pPr>
        <w:ind w:left="3256" w:hanging="528"/>
      </w:pPr>
      <w:rPr>
        <w:rFonts w:hint="default"/>
        <w:lang w:val="zh-CN" w:eastAsia="zh-CN" w:bidi="zh-CN"/>
      </w:rPr>
    </w:lvl>
    <w:lvl w:ilvl="4" w:tentative="0">
      <w:start w:val="0"/>
      <w:numFmt w:val="bullet"/>
      <w:lvlText w:val="•"/>
      <w:lvlJc w:val="left"/>
      <w:pPr>
        <w:ind w:left="4148" w:hanging="528"/>
      </w:pPr>
      <w:rPr>
        <w:rFonts w:hint="default"/>
        <w:lang w:val="zh-CN" w:eastAsia="zh-CN" w:bidi="zh-CN"/>
      </w:rPr>
    </w:lvl>
    <w:lvl w:ilvl="5" w:tentative="0">
      <w:start w:val="0"/>
      <w:numFmt w:val="bullet"/>
      <w:lvlText w:val="•"/>
      <w:lvlJc w:val="left"/>
      <w:pPr>
        <w:ind w:left="5040" w:hanging="528"/>
      </w:pPr>
      <w:rPr>
        <w:rFonts w:hint="default"/>
        <w:lang w:val="zh-CN" w:eastAsia="zh-CN" w:bidi="zh-CN"/>
      </w:rPr>
    </w:lvl>
    <w:lvl w:ilvl="6" w:tentative="0">
      <w:start w:val="0"/>
      <w:numFmt w:val="bullet"/>
      <w:lvlText w:val="•"/>
      <w:lvlJc w:val="left"/>
      <w:pPr>
        <w:ind w:left="5932" w:hanging="528"/>
      </w:pPr>
      <w:rPr>
        <w:rFonts w:hint="default"/>
        <w:lang w:val="zh-CN" w:eastAsia="zh-CN" w:bidi="zh-CN"/>
      </w:rPr>
    </w:lvl>
    <w:lvl w:ilvl="7" w:tentative="0">
      <w:start w:val="0"/>
      <w:numFmt w:val="bullet"/>
      <w:lvlText w:val="•"/>
      <w:lvlJc w:val="left"/>
      <w:pPr>
        <w:ind w:left="6824" w:hanging="528"/>
      </w:pPr>
      <w:rPr>
        <w:rFonts w:hint="default"/>
        <w:lang w:val="zh-CN" w:eastAsia="zh-CN" w:bidi="zh-CN"/>
      </w:rPr>
    </w:lvl>
    <w:lvl w:ilvl="8" w:tentative="0">
      <w:start w:val="0"/>
      <w:numFmt w:val="bullet"/>
      <w:lvlText w:val="•"/>
      <w:lvlJc w:val="left"/>
      <w:pPr>
        <w:ind w:left="7716" w:hanging="528"/>
      </w:pPr>
      <w:rPr>
        <w:rFonts w:hint="default"/>
        <w:lang w:val="zh-CN" w:eastAsia="zh-CN" w:bidi="zh-CN"/>
      </w:rPr>
    </w:lvl>
  </w:abstractNum>
  <w:abstractNum w:abstractNumId="19">
    <w:nsid w:val="646260FA"/>
    <w:multiLevelType w:val="multilevel"/>
    <w:tmpl w:val="646260FA"/>
    <w:lvl w:ilvl="0" w:tentative="0">
      <w:start w:val="1"/>
      <w:numFmt w:val="decimal"/>
      <w:pStyle w:val="44"/>
      <w:suff w:val="nothing"/>
      <w:lvlText w:val="表%1　"/>
      <w:lvlJc w:val="left"/>
      <w:pPr>
        <w:ind w:left="0" w:firstLine="0"/>
      </w:pPr>
      <w:rPr>
        <w:rFonts w:hint="eastAsia" w:ascii="黑体" w:hAnsi="Times New Roman" w:eastAsia="黑体"/>
        <w:b w:val="0"/>
        <w:i w:val="0"/>
        <w:color w:val="00000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72183CF9"/>
    <w:multiLevelType w:val="multilevel"/>
    <w:tmpl w:val="72183CF9"/>
    <w:lvl w:ilvl="0" w:tentative="0">
      <w:start w:val="6"/>
      <w:numFmt w:val="decimal"/>
      <w:lvlText w:val="%1"/>
      <w:lvlJc w:val="left"/>
      <w:pPr>
        <w:ind w:left="1000" w:hanging="318"/>
      </w:pPr>
      <w:rPr>
        <w:rFonts w:hint="default"/>
        <w:lang w:val="zh-CN" w:eastAsia="zh-CN" w:bidi="zh-CN"/>
      </w:rPr>
    </w:lvl>
    <w:lvl w:ilvl="1" w:tentative="0">
      <w:start w:val="1"/>
      <w:numFmt w:val="decimal"/>
      <w:lvlText w:val="%1.%2"/>
      <w:lvlJc w:val="left"/>
      <w:pPr>
        <w:ind w:left="1000" w:hanging="318"/>
      </w:pPr>
      <w:rPr>
        <w:rFonts w:hint="default" w:ascii="宋体" w:hAnsi="宋体" w:eastAsia="宋体" w:cs="宋体"/>
        <w:w w:val="100"/>
        <w:sz w:val="19"/>
        <w:szCs w:val="19"/>
        <w:lang w:val="zh-CN" w:eastAsia="zh-CN" w:bidi="zh-CN"/>
      </w:rPr>
    </w:lvl>
    <w:lvl w:ilvl="2" w:tentative="0">
      <w:start w:val="0"/>
      <w:numFmt w:val="bullet"/>
      <w:lvlText w:val="•"/>
      <w:lvlJc w:val="left"/>
      <w:pPr>
        <w:ind w:left="2700" w:hanging="318"/>
      </w:pPr>
      <w:rPr>
        <w:rFonts w:hint="default"/>
        <w:lang w:val="zh-CN" w:eastAsia="zh-CN" w:bidi="zh-CN"/>
      </w:rPr>
    </w:lvl>
    <w:lvl w:ilvl="3" w:tentative="0">
      <w:start w:val="0"/>
      <w:numFmt w:val="bullet"/>
      <w:lvlText w:val="•"/>
      <w:lvlJc w:val="left"/>
      <w:pPr>
        <w:ind w:left="3550" w:hanging="318"/>
      </w:pPr>
      <w:rPr>
        <w:rFonts w:hint="default"/>
        <w:lang w:val="zh-CN" w:eastAsia="zh-CN" w:bidi="zh-CN"/>
      </w:rPr>
    </w:lvl>
    <w:lvl w:ilvl="4" w:tentative="0">
      <w:start w:val="0"/>
      <w:numFmt w:val="bullet"/>
      <w:lvlText w:val="•"/>
      <w:lvlJc w:val="left"/>
      <w:pPr>
        <w:ind w:left="4400" w:hanging="318"/>
      </w:pPr>
      <w:rPr>
        <w:rFonts w:hint="default"/>
        <w:lang w:val="zh-CN" w:eastAsia="zh-CN" w:bidi="zh-CN"/>
      </w:rPr>
    </w:lvl>
    <w:lvl w:ilvl="5" w:tentative="0">
      <w:start w:val="0"/>
      <w:numFmt w:val="bullet"/>
      <w:lvlText w:val="•"/>
      <w:lvlJc w:val="left"/>
      <w:pPr>
        <w:ind w:left="5250" w:hanging="318"/>
      </w:pPr>
      <w:rPr>
        <w:rFonts w:hint="default"/>
        <w:lang w:val="zh-CN" w:eastAsia="zh-CN" w:bidi="zh-CN"/>
      </w:rPr>
    </w:lvl>
    <w:lvl w:ilvl="6" w:tentative="0">
      <w:start w:val="0"/>
      <w:numFmt w:val="bullet"/>
      <w:lvlText w:val="•"/>
      <w:lvlJc w:val="left"/>
      <w:pPr>
        <w:ind w:left="6100" w:hanging="318"/>
      </w:pPr>
      <w:rPr>
        <w:rFonts w:hint="default"/>
        <w:lang w:val="zh-CN" w:eastAsia="zh-CN" w:bidi="zh-CN"/>
      </w:rPr>
    </w:lvl>
    <w:lvl w:ilvl="7" w:tentative="0">
      <w:start w:val="0"/>
      <w:numFmt w:val="bullet"/>
      <w:lvlText w:val="•"/>
      <w:lvlJc w:val="left"/>
      <w:pPr>
        <w:ind w:left="6950" w:hanging="318"/>
      </w:pPr>
      <w:rPr>
        <w:rFonts w:hint="default"/>
        <w:lang w:val="zh-CN" w:eastAsia="zh-CN" w:bidi="zh-CN"/>
      </w:rPr>
    </w:lvl>
    <w:lvl w:ilvl="8" w:tentative="0">
      <w:start w:val="0"/>
      <w:numFmt w:val="bullet"/>
      <w:lvlText w:val="•"/>
      <w:lvlJc w:val="left"/>
      <w:pPr>
        <w:ind w:left="7800" w:hanging="318"/>
      </w:pPr>
      <w:rPr>
        <w:rFonts w:hint="default"/>
        <w:lang w:val="zh-CN" w:eastAsia="zh-CN" w:bidi="zh-CN"/>
      </w:rPr>
    </w:lvl>
  </w:abstractNum>
  <w:abstractNum w:abstractNumId="21">
    <w:nsid w:val="7E240E35"/>
    <w:multiLevelType w:val="singleLevel"/>
    <w:tmpl w:val="7E240E35"/>
    <w:lvl w:ilvl="0" w:tentative="0">
      <w:start w:val="5"/>
      <w:numFmt w:val="chineseCounting"/>
      <w:suff w:val="space"/>
      <w:lvlText w:val="第%1章"/>
      <w:lvlJc w:val="left"/>
      <w:rPr>
        <w:rFonts w:hint="eastAsia"/>
      </w:rPr>
    </w:lvl>
  </w:abstractNum>
  <w:num w:numId="1">
    <w:abstractNumId w:val="19"/>
  </w:num>
  <w:num w:numId="2">
    <w:abstractNumId w:val="12"/>
  </w:num>
  <w:num w:numId="3">
    <w:abstractNumId w:val="6"/>
  </w:num>
  <w:num w:numId="4">
    <w:abstractNumId w:val="16"/>
  </w:num>
  <w:num w:numId="5">
    <w:abstractNumId w:val="3"/>
  </w:num>
  <w:num w:numId="6">
    <w:abstractNumId w:val="11"/>
  </w:num>
  <w:num w:numId="7">
    <w:abstractNumId w:val="20"/>
  </w:num>
  <w:num w:numId="8">
    <w:abstractNumId w:val="21"/>
  </w:num>
  <w:num w:numId="9">
    <w:abstractNumId w:val="7"/>
  </w:num>
  <w:num w:numId="10">
    <w:abstractNumId w:val="1"/>
  </w:num>
  <w:num w:numId="11">
    <w:abstractNumId w:val="13"/>
  </w:num>
  <w:num w:numId="12">
    <w:abstractNumId w:val="17"/>
  </w:num>
  <w:num w:numId="13">
    <w:abstractNumId w:val="4"/>
  </w:num>
  <w:num w:numId="14">
    <w:abstractNumId w:val="15"/>
  </w:num>
  <w:num w:numId="15">
    <w:abstractNumId w:val="5"/>
  </w:num>
  <w:num w:numId="16">
    <w:abstractNumId w:val="14"/>
  </w:num>
  <w:num w:numId="17">
    <w:abstractNumId w:val="18"/>
  </w:num>
  <w:num w:numId="18">
    <w:abstractNumId w:val="0"/>
  </w:num>
  <w:num w:numId="19">
    <w:abstractNumId w:val="2"/>
  </w:num>
  <w:num w:numId="20">
    <w:abstractNumId w:val="10"/>
  </w:num>
  <w:num w:numId="21">
    <w:abstractNumId w:val="8"/>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8E8"/>
    <w:rsid w:val="00063C69"/>
    <w:rsid w:val="00070BE1"/>
    <w:rsid w:val="000721EC"/>
    <w:rsid w:val="00084C43"/>
    <w:rsid w:val="000A4F7D"/>
    <w:rsid w:val="000B20FA"/>
    <w:rsid w:val="000E2D99"/>
    <w:rsid w:val="000F08BB"/>
    <w:rsid w:val="00105707"/>
    <w:rsid w:val="00172A27"/>
    <w:rsid w:val="00197256"/>
    <w:rsid w:val="001C4752"/>
    <w:rsid w:val="001D56AA"/>
    <w:rsid w:val="00203A4E"/>
    <w:rsid w:val="00223F8A"/>
    <w:rsid w:val="00233AE9"/>
    <w:rsid w:val="00246474"/>
    <w:rsid w:val="002642D8"/>
    <w:rsid w:val="00277522"/>
    <w:rsid w:val="00280C9C"/>
    <w:rsid w:val="002A5529"/>
    <w:rsid w:val="002F1BC6"/>
    <w:rsid w:val="003206A4"/>
    <w:rsid w:val="00326284"/>
    <w:rsid w:val="0033481C"/>
    <w:rsid w:val="00347857"/>
    <w:rsid w:val="00357FC2"/>
    <w:rsid w:val="00375FF9"/>
    <w:rsid w:val="003A1529"/>
    <w:rsid w:val="003B325F"/>
    <w:rsid w:val="003C6BF7"/>
    <w:rsid w:val="003D24F5"/>
    <w:rsid w:val="004020A0"/>
    <w:rsid w:val="00413534"/>
    <w:rsid w:val="0043172C"/>
    <w:rsid w:val="0043433C"/>
    <w:rsid w:val="00442726"/>
    <w:rsid w:val="00446C4C"/>
    <w:rsid w:val="004549F9"/>
    <w:rsid w:val="00493D99"/>
    <w:rsid w:val="004A2126"/>
    <w:rsid w:val="004C5BC7"/>
    <w:rsid w:val="004D1844"/>
    <w:rsid w:val="00510184"/>
    <w:rsid w:val="005261C4"/>
    <w:rsid w:val="00534873"/>
    <w:rsid w:val="005538FD"/>
    <w:rsid w:val="00563001"/>
    <w:rsid w:val="0058573A"/>
    <w:rsid w:val="005A7506"/>
    <w:rsid w:val="005B3A50"/>
    <w:rsid w:val="005D3B0B"/>
    <w:rsid w:val="005F1E22"/>
    <w:rsid w:val="00615868"/>
    <w:rsid w:val="00661DDF"/>
    <w:rsid w:val="0067587C"/>
    <w:rsid w:val="00685122"/>
    <w:rsid w:val="006B5344"/>
    <w:rsid w:val="006E34EB"/>
    <w:rsid w:val="006E3855"/>
    <w:rsid w:val="006E56C6"/>
    <w:rsid w:val="006F1305"/>
    <w:rsid w:val="006F24D0"/>
    <w:rsid w:val="00754E9F"/>
    <w:rsid w:val="00783773"/>
    <w:rsid w:val="00787D08"/>
    <w:rsid w:val="007C16FB"/>
    <w:rsid w:val="007C4221"/>
    <w:rsid w:val="007F2329"/>
    <w:rsid w:val="008104B9"/>
    <w:rsid w:val="008172D6"/>
    <w:rsid w:val="0082101E"/>
    <w:rsid w:val="008547C3"/>
    <w:rsid w:val="00855B95"/>
    <w:rsid w:val="008C6B5A"/>
    <w:rsid w:val="009102A0"/>
    <w:rsid w:val="009367AD"/>
    <w:rsid w:val="00944BD1"/>
    <w:rsid w:val="009B4D50"/>
    <w:rsid w:val="009D10A7"/>
    <w:rsid w:val="009E478C"/>
    <w:rsid w:val="00A12E38"/>
    <w:rsid w:val="00A55F90"/>
    <w:rsid w:val="00A7326D"/>
    <w:rsid w:val="00A844F6"/>
    <w:rsid w:val="00AC4196"/>
    <w:rsid w:val="00B4494E"/>
    <w:rsid w:val="00B5572F"/>
    <w:rsid w:val="00B73084"/>
    <w:rsid w:val="00B8269C"/>
    <w:rsid w:val="00B862B0"/>
    <w:rsid w:val="00B9130F"/>
    <w:rsid w:val="00BA7319"/>
    <w:rsid w:val="00BC3F02"/>
    <w:rsid w:val="00BD0F93"/>
    <w:rsid w:val="00BF1552"/>
    <w:rsid w:val="00BF78F5"/>
    <w:rsid w:val="00C01B97"/>
    <w:rsid w:val="00C102BC"/>
    <w:rsid w:val="00C23375"/>
    <w:rsid w:val="00C32235"/>
    <w:rsid w:val="00C52719"/>
    <w:rsid w:val="00C72608"/>
    <w:rsid w:val="00C74AE7"/>
    <w:rsid w:val="00C91449"/>
    <w:rsid w:val="00CA75A9"/>
    <w:rsid w:val="00CC5A7B"/>
    <w:rsid w:val="00CD6B4D"/>
    <w:rsid w:val="00D1386C"/>
    <w:rsid w:val="00D30640"/>
    <w:rsid w:val="00D47881"/>
    <w:rsid w:val="00D47BD7"/>
    <w:rsid w:val="00D776C3"/>
    <w:rsid w:val="00D85F7B"/>
    <w:rsid w:val="00DA72A4"/>
    <w:rsid w:val="00DC7515"/>
    <w:rsid w:val="00E24A94"/>
    <w:rsid w:val="00E5644A"/>
    <w:rsid w:val="00E717E9"/>
    <w:rsid w:val="00E731DF"/>
    <w:rsid w:val="00E76274"/>
    <w:rsid w:val="00E77844"/>
    <w:rsid w:val="00EB14B1"/>
    <w:rsid w:val="00EB6E73"/>
    <w:rsid w:val="00EC6F04"/>
    <w:rsid w:val="00EF5983"/>
    <w:rsid w:val="00F22876"/>
    <w:rsid w:val="00F24B36"/>
    <w:rsid w:val="00F25996"/>
    <w:rsid w:val="00F36559"/>
    <w:rsid w:val="00F53257"/>
    <w:rsid w:val="00F86D4F"/>
    <w:rsid w:val="00F91400"/>
    <w:rsid w:val="00F97B75"/>
    <w:rsid w:val="00FA2016"/>
    <w:rsid w:val="00FA6049"/>
    <w:rsid w:val="00FE410D"/>
    <w:rsid w:val="010950DB"/>
    <w:rsid w:val="011E69E0"/>
    <w:rsid w:val="01252876"/>
    <w:rsid w:val="01263657"/>
    <w:rsid w:val="01287D4A"/>
    <w:rsid w:val="013215D4"/>
    <w:rsid w:val="014927F3"/>
    <w:rsid w:val="014A7506"/>
    <w:rsid w:val="01504BDC"/>
    <w:rsid w:val="01545514"/>
    <w:rsid w:val="015C69A2"/>
    <w:rsid w:val="01704B34"/>
    <w:rsid w:val="01722133"/>
    <w:rsid w:val="01A42EE6"/>
    <w:rsid w:val="01AF1B09"/>
    <w:rsid w:val="01C35AD3"/>
    <w:rsid w:val="01C37E4F"/>
    <w:rsid w:val="01C6561A"/>
    <w:rsid w:val="01D51133"/>
    <w:rsid w:val="01D77722"/>
    <w:rsid w:val="01F57A2E"/>
    <w:rsid w:val="022A255D"/>
    <w:rsid w:val="02494FF8"/>
    <w:rsid w:val="0256597F"/>
    <w:rsid w:val="025F735F"/>
    <w:rsid w:val="02722F67"/>
    <w:rsid w:val="02746F25"/>
    <w:rsid w:val="0283794A"/>
    <w:rsid w:val="02910886"/>
    <w:rsid w:val="0298386F"/>
    <w:rsid w:val="029B2D3B"/>
    <w:rsid w:val="02AC3F4E"/>
    <w:rsid w:val="02B610E2"/>
    <w:rsid w:val="02B666B5"/>
    <w:rsid w:val="02B75D6E"/>
    <w:rsid w:val="02BB4B45"/>
    <w:rsid w:val="02C14C98"/>
    <w:rsid w:val="02CA0BD0"/>
    <w:rsid w:val="02FA5B0E"/>
    <w:rsid w:val="03004AAD"/>
    <w:rsid w:val="033600AE"/>
    <w:rsid w:val="0344729C"/>
    <w:rsid w:val="03477638"/>
    <w:rsid w:val="035E27DF"/>
    <w:rsid w:val="036516DD"/>
    <w:rsid w:val="037008E7"/>
    <w:rsid w:val="0380403B"/>
    <w:rsid w:val="03943C59"/>
    <w:rsid w:val="039D7445"/>
    <w:rsid w:val="03AB1415"/>
    <w:rsid w:val="03B43D5B"/>
    <w:rsid w:val="03B82304"/>
    <w:rsid w:val="03BE66C3"/>
    <w:rsid w:val="03C06062"/>
    <w:rsid w:val="03E1024C"/>
    <w:rsid w:val="03E30AA5"/>
    <w:rsid w:val="03F06B2B"/>
    <w:rsid w:val="03FC2A94"/>
    <w:rsid w:val="03FE4749"/>
    <w:rsid w:val="04061BE9"/>
    <w:rsid w:val="040C377F"/>
    <w:rsid w:val="04114C38"/>
    <w:rsid w:val="04342689"/>
    <w:rsid w:val="0439211D"/>
    <w:rsid w:val="046313A2"/>
    <w:rsid w:val="047C559B"/>
    <w:rsid w:val="047D2315"/>
    <w:rsid w:val="047D7A45"/>
    <w:rsid w:val="04876EBE"/>
    <w:rsid w:val="048F7BCB"/>
    <w:rsid w:val="049A7963"/>
    <w:rsid w:val="049E63E6"/>
    <w:rsid w:val="04A836DC"/>
    <w:rsid w:val="04AE4077"/>
    <w:rsid w:val="04D27CA0"/>
    <w:rsid w:val="04D3155A"/>
    <w:rsid w:val="04E27A1D"/>
    <w:rsid w:val="04ED5C73"/>
    <w:rsid w:val="04F05363"/>
    <w:rsid w:val="04F07E1D"/>
    <w:rsid w:val="050B11B5"/>
    <w:rsid w:val="053C2D9A"/>
    <w:rsid w:val="055A2A2E"/>
    <w:rsid w:val="055A377A"/>
    <w:rsid w:val="055B30A3"/>
    <w:rsid w:val="055E3138"/>
    <w:rsid w:val="056D395F"/>
    <w:rsid w:val="057F6C28"/>
    <w:rsid w:val="05864B7A"/>
    <w:rsid w:val="05920FFA"/>
    <w:rsid w:val="05922E02"/>
    <w:rsid w:val="0594220C"/>
    <w:rsid w:val="05AD04BE"/>
    <w:rsid w:val="05AE259B"/>
    <w:rsid w:val="05D36E51"/>
    <w:rsid w:val="05DB27D9"/>
    <w:rsid w:val="05FE0509"/>
    <w:rsid w:val="060C3819"/>
    <w:rsid w:val="060C44E8"/>
    <w:rsid w:val="06112051"/>
    <w:rsid w:val="06115D85"/>
    <w:rsid w:val="061353D8"/>
    <w:rsid w:val="06294FBF"/>
    <w:rsid w:val="062E1459"/>
    <w:rsid w:val="065242DC"/>
    <w:rsid w:val="06540FA7"/>
    <w:rsid w:val="06617F7A"/>
    <w:rsid w:val="06887596"/>
    <w:rsid w:val="068B002D"/>
    <w:rsid w:val="06994785"/>
    <w:rsid w:val="069F3CDB"/>
    <w:rsid w:val="06B8642E"/>
    <w:rsid w:val="06BA5332"/>
    <w:rsid w:val="06BF30F0"/>
    <w:rsid w:val="06BF34D2"/>
    <w:rsid w:val="06C744A2"/>
    <w:rsid w:val="06DD6F06"/>
    <w:rsid w:val="06DF0B9E"/>
    <w:rsid w:val="06E41D8D"/>
    <w:rsid w:val="06EE1B70"/>
    <w:rsid w:val="07076349"/>
    <w:rsid w:val="070A5E9A"/>
    <w:rsid w:val="071C2056"/>
    <w:rsid w:val="07263657"/>
    <w:rsid w:val="072643C6"/>
    <w:rsid w:val="07276060"/>
    <w:rsid w:val="073E2841"/>
    <w:rsid w:val="074E17AC"/>
    <w:rsid w:val="07650E66"/>
    <w:rsid w:val="07673788"/>
    <w:rsid w:val="07697552"/>
    <w:rsid w:val="07956444"/>
    <w:rsid w:val="07995EB0"/>
    <w:rsid w:val="07A65A14"/>
    <w:rsid w:val="07AA21E0"/>
    <w:rsid w:val="07B42923"/>
    <w:rsid w:val="07D87F17"/>
    <w:rsid w:val="07E57BA6"/>
    <w:rsid w:val="07E57BB1"/>
    <w:rsid w:val="07F45029"/>
    <w:rsid w:val="07FE28BD"/>
    <w:rsid w:val="0803132E"/>
    <w:rsid w:val="08160040"/>
    <w:rsid w:val="08165AB6"/>
    <w:rsid w:val="08175483"/>
    <w:rsid w:val="0818515D"/>
    <w:rsid w:val="08232437"/>
    <w:rsid w:val="084820C5"/>
    <w:rsid w:val="085065B7"/>
    <w:rsid w:val="085A450C"/>
    <w:rsid w:val="085B46FC"/>
    <w:rsid w:val="085F768E"/>
    <w:rsid w:val="08606E01"/>
    <w:rsid w:val="08867F32"/>
    <w:rsid w:val="088B1227"/>
    <w:rsid w:val="089138DA"/>
    <w:rsid w:val="089330B2"/>
    <w:rsid w:val="08991569"/>
    <w:rsid w:val="08997A75"/>
    <w:rsid w:val="08A50E66"/>
    <w:rsid w:val="08A836D4"/>
    <w:rsid w:val="08BA76D0"/>
    <w:rsid w:val="08BF5EC8"/>
    <w:rsid w:val="08C6728D"/>
    <w:rsid w:val="08C733EC"/>
    <w:rsid w:val="08E07D69"/>
    <w:rsid w:val="08E7446C"/>
    <w:rsid w:val="08E76DAA"/>
    <w:rsid w:val="08EF74A6"/>
    <w:rsid w:val="08F710D9"/>
    <w:rsid w:val="090E3334"/>
    <w:rsid w:val="090E70AF"/>
    <w:rsid w:val="090F4A35"/>
    <w:rsid w:val="09173355"/>
    <w:rsid w:val="091A3556"/>
    <w:rsid w:val="09370452"/>
    <w:rsid w:val="093D3F20"/>
    <w:rsid w:val="0946633A"/>
    <w:rsid w:val="095C36CA"/>
    <w:rsid w:val="095D00A0"/>
    <w:rsid w:val="096D1E6F"/>
    <w:rsid w:val="097140FF"/>
    <w:rsid w:val="09743185"/>
    <w:rsid w:val="097F7376"/>
    <w:rsid w:val="09831953"/>
    <w:rsid w:val="098E32D4"/>
    <w:rsid w:val="0992297C"/>
    <w:rsid w:val="09AE0972"/>
    <w:rsid w:val="09B32146"/>
    <w:rsid w:val="09B628D1"/>
    <w:rsid w:val="09D471CC"/>
    <w:rsid w:val="09D50AC2"/>
    <w:rsid w:val="09DD3550"/>
    <w:rsid w:val="09E860AE"/>
    <w:rsid w:val="09EA7442"/>
    <w:rsid w:val="09ED6CFA"/>
    <w:rsid w:val="09EF4D8F"/>
    <w:rsid w:val="09F55609"/>
    <w:rsid w:val="09F84593"/>
    <w:rsid w:val="0A053483"/>
    <w:rsid w:val="0A08719F"/>
    <w:rsid w:val="0A113F6E"/>
    <w:rsid w:val="0A18401A"/>
    <w:rsid w:val="0A1C4D32"/>
    <w:rsid w:val="0A221C26"/>
    <w:rsid w:val="0A23527A"/>
    <w:rsid w:val="0A2739C2"/>
    <w:rsid w:val="0A57353E"/>
    <w:rsid w:val="0A5F6D76"/>
    <w:rsid w:val="0A7314CD"/>
    <w:rsid w:val="0A7949E1"/>
    <w:rsid w:val="0A7A34B5"/>
    <w:rsid w:val="0A93081F"/>
    <w:rsid w:val="0A93508E"/>
    <w:rsid w:val="0A9E1169"/>
    <w:rsid w:val="0AA8034C"/>
    <w:rsid w:val="0AB93873"/>
    <w:rsid w:val="0AC74302"/>
    <w:rsid w:val="0AD652C5"/>
    <w:rsid w:val="0AE873F2"/>
    <w:rsid w:val="0AEF0129"/>
    <w:rsid w:val="0AF0228D"/>
    <w:rsid w:val="0AF978BC"/>
    <w:rsid w:val="0B0F06C4"/>
    <w:rsid w:val="0B190236"/>
    <w:rsid w:val="0B1D1265"/>
    <w:rsid w:val="0B3E037B"/>
    <w:rsid w:val="0B4B5535"/>
    <w:rsid w:val="0B540B37"/>
    <w:rsid w:val="0B595B4D"/>
    <w:rsid w:val="0B690073"/>
    <w:rsid w:val="0B6D3ADD"/>
    <w:rsid w:val="0B6E7914"/>
    <w:rsid w:val="0B71068B"/>
    <w:rsid w:val="0B974C47"/>
    <w:rsid w:val="0BA6357D"/>
    <w:rsid w:val="0BAE11FD"/>
    <w:rsid w:val="0BB66E4A"/>
    <w:rsid w:val="0BC43C7C"/>
    <w:rsid w:val="0BEB1A43"/>
    <w:rsid w:val="0BF24BB4"/>
    <w:rsid w:val="0C10306D"/>
    <w:rsid w:val="0C3D7576"/>
    <w:rsid w:val="0C501A02"/>
    <w:rsid w:val="0C541F9E"/>
    <w:rsid w:val="0C5E5544"/>
    <w:rsid w:val="0C6A607F"/>
    <w:rsid w:val="0C6C0A0B"/>
    <w:rsid w:val="0C747B38"/>
    <w:rsid w:val="0C786AB4"/>
    <w:rsid w:val="0C7919B0"/>
    <w:rsid w:val="0C80715F"/>
    <w:rsid w:val="0C86542F"/>
    <w:rsid w:val="0C9424CD"/>
    <w:rsid w:val="0C9C182E"/>
    <w:rsid w:val="0CAB1885"/>
    <w:rsid w:val="0CAD09FB"/>
    <w:rsid w:val="0CAF0E75"/>
    <w:rsid w:val="0CB30E06"/>
    <w:rsid w:val="0CB977D7"/>
    <w:rsid w:val="0CC046B4"/>
    <w:rsid w:val="0CC43A98"/>
    <w:rsid w:val="0CC628FC"/>
    <w:rsid w:val="0CE17FF0"/>
    <w:rsid w:val="0CE824B1"/>
    <w:rsid w:val="0CEC65AC"/>
    <w:rsid w:val="0CEE4885"/>
    <w:rsid w:val="0D2151C5"/>
    <w:rsid w:val="0D276658"/>
    <w:rsid w:val="0D2E1B74"/>
    <w:rsid w:val="0D3063CC"/>
    <w:rsid w:val="0D32144E"/>
    <w:rsid w:val="0D341D4C"/>
    <w:rsid w:val="0D385755"/>
    <w:rsid w:val="0D3C17CD"/>
    <w:rsid w:val="0D3F37C3"/>
    <w:rsid w:val="0D403344"/>
    <w:rsid w:val="0D42247C"/>
    <w:rsid w:val="0D4B60BC"/>
    <w:rsid w:val="0D62505F"/>
    <w:rsid w:val="0D7B5F1B"/>
    <w:rsid w:val="0D805120"/>
    <w:rsid w:val="0D817D99"/>
    <w:rsid w:val="0D883963"/>
    <w:rsid w:val="0D933D4C"/>
    <w:rsid w:val="0DA43BC3"/>
    <w:rsid w:val="0DA51525"/>
    <w:rsid w:val="0DAF3969"/>
    <w:rsid w:val="0DC15607"/>
    <w:rsid w:val="0DCE528B"/>
    <w:rsid w:val="0DD71015"/>
    <w:rsid w:val="0DE21DF2"/>
    <w:rsid w:val="0DF05AA6"/>
    <w:rsid w:val="0E0409F5"/>
    <w:rsid w:val="0E1D65AD"/>
    <w:rsid w:val="0E1F0C5A"/>
    <w:rsid w:val="0E751F7D"/>
    <w:rsid w:val="0E8209BF"/>
    <w:rsid w:val="0E9D563E"/>
    <w:rsid w:val="0EAA4036"/>
    <w:rsid w:val="0EAD1A92"/>
    <w:rsid w:val="0EB72379"/>
    <w:rsid w:val="0EB73E53"/>
    <w:rsid w:val="0EE15FD5"/>
    <w:rsid w:val="0EE36920"/>
    <w:rsid w:val="0EEB25F4"/>
    <w:rsid w:val="0EF72ED0"/>
    <w:rsid w:val="0EFA1067"/>
    <w:rsid w:val="0EFA255C"/>
    <w:rsid w:val="0EFD2820"/>
    <w:rsid w:val="0F0320E4"/>
    <w:rsid w:val="0F165C70"/>
    <w:rsid w:val="0F2836BC"/>
    <w:rsid w:val="0F3F722C"/>
    <w:rsid w:val="0F4A6D3F"/>
    <w:rsid w:val="0F4E7F85"/>
    <w:rsid w:val="0F712BC6"/>
    <w:rsid w:val="0F7F22CB"/>
    <w:rsid w:val="0F8521FD"/>
    <w:rsid w:val="0F9218A3"/>
    <w:rsid w:val="0FA1715C"/>
    <w:rsid w:val="0FB15E06"/>
    <w:rsid w:val="0FC541DF"/>
    <w:rsid w:val="0FE56C14"/>
    <w:rsid w:val="0FEE7216"/>
    <w:rsid w:val="0FF741D0"/>
    <w:rsid w:val="1006297D"/>
    <w:rsid w:val="1021077E"/>
    <w:rsid w:val="10223652"/>
    <w:rsid w:val="102260C3"/>
    <w:rsid w:val="1036147D"/>
    <w:rsid w:val="1049638C"/>
    <w:rsid w:val="105758B7"/>
    <w:rsid w:val="105F5117"/>
    <w:rsid w:val="1062034B"/>
    <w:rsid w:val="106632CA"/>
    <w:rsid w:val="107471F5"/>
    <w:rsid w:val="10791466"/>
    <w:rsid w:val="108E6408"/>
    <w:rsid w:val="10A25308"/>
    <w:rsid w:val="10A41375"/>
    <w:rsid w:val="10A54598"/>
    <w:rsid w:val="10BF423F"/>
    <w:rsid w:val="10C60747"/>
    <w:rsid w:val="10CE0C02"/>
    <w:rsid w:val="10D011AF"/>
    <w:rsid w:val="10E101E3"/>
    <w:rsid w:val="10E737BD"/>
    <w:rsid w:val="11067C20"/>
    <w:rsid w:val="11182CB1"/>
    <w:rsid w:val="1127128C"/>
    <w:rsid w:val="112E2950"/>
    <w:rsid w:val="112F79A0"/>
    <w:rsid w:val="113264BF"/>
    <w:rsid w:val="11436D34"/>
    <w:rsid w:val="115D2730"/>
    <w:rsid w:val="115F577B"/>
    <w:rsid w:val="116E3750"/>
    <w:rsid w:val="117037BD"/>
    <w:rsid w:val="11777265"/>
    <w:rsid w:val="11851230"/>
    <w:rsid w:val="11875B53"/>
    <w:rsid w:val="11882AAF"/>
    <w:rsid w:val="119167DF"/>
    <w:rsid w:val="119350D0"/>
    <w:rsid w:val="119447CD"/>
    <w:rsid w:val="11A3194E"/>
    <w:rsid w:val="11B31836"/>
    <w:rsid w:val="11B76BBF"/>
    <w:rsid w:val="11B91B43"/>
    <w:rsid w:val="11BF3E96"/>
    <w:rsid w:val="11C43A8A"/>
    <w:rsid w:val="11CD564A"/>
    <w:rsid w:val="11F67610"/>
    <w:rsid w:val="120A4D2B"/>
    <w:rsid w:val="12146F3C"/>
    <w:rsid w:val="12252ABE"/>
    <w:rsid w:val="122C3CD7"/>
    <w:rsid w:val="122D56EE"/>
    <w:rsid w:val="1235675E"/>
    <w:rsid w:val="1236692D"/>
    <w:rsid w:val="124D063B"/>
    <w:rsid w:val="12515D6B"/>
    <w:rsid w:val="125B081C"/>
    <w:rsid w:val="1263118C"/>
    <w:rsid w:val="126535B2"/>
    <w:rsid w:val="12654199"/>
    <w:rsid w:val="12835FAD"/>
    <w:rsid w:val="128A2AC8"/>
    <w:rsid w:val="128C0591"/>
    <w:rsid w:val="128F7D4C"/>
    <w:rsid w:val="12C17D85"/>
    <w:rsid w:val="12C76927"/>
    <w:rsid w:val="12D51DE7"/>
    <w:rsid w:val="12E429A9"/>
    <w:rsid w:val="12EA3860"/>
    <w:rsid w:val="12F95EC7"/>
    <w:rsid w:val="130B4E8E"/>
    <w:rsid w:val="130C10B0"/>
    <w:rsid w:val="13124363"/>
    <w:rsid w:val="1316550C"/>
    <w:rsid w:val="131A300B"/>
    <w:rsid w:val="13297773"/>
    <w:rsid w:val="13526254"/>
    <w:rsid w:val="1353040B"/>
    <w:rsid w:val="13544143"/>
    <w:rsid w:val="13587A5F"/>
    <w:rsid w:val="13614AED"/>
    <w:rsid w:val="1362682A"/>
    <w:rsid w:val="137141ED"/>
    <w:rsid w:val="13745573"/>
    <w:rsid w:val="137D6EBF"/>
    <w:rsid w:val="139256FB"/>
    <w:rsid w:val="13981281"/>
    <w:rsid w:val="13AF7A84"/>
    <w:rsid w:val="13D11378"/>
    <w:rsid w:val="13D200BC"/>
    <w:rsid w:val="13D30C7A"/>
    <w:rsid w:val="13D97C50"/>
    <w:rsid w:val="13EB79E5"/>
    <w:rsid w:val="13EE0EA9"/>
    <w:rsid w:val="14052064"/>
    <w:rsid w:val="140A26A2"/>
    <w:rsid w:val="14113060"/>
    <w:rsid w:val="142048DA"/>
    <w:rsid w:val="142F687A"/>
    <w:rsid w:val="143E3F42"/>
    <w:rsid w:val="14456317"/>
    <w:rsid w:val="14485FCD"/>
    <w:rsid w:val="145520E0"/>
    <w:rsid w:val="146D25FA"/>
    <w:rsid w:val="146F4339"/>
    <w:rsid w:val="14823127"/>
    <w:rsid w:val="14882766"/>
    <w:rsid w:val="14995594"/>
    <w:rsid w:val="14B43FCA"/>
    <w:rsid w:val="14B93248"/>
    <w:rsid w:val="14C75407"/>
    <w:rsid w:val="14CE034B"/>
    <w:rsid w:val="14D76EAA"/>
    <w:rsid w:val="14F94319"/>
    <w:rsid w:val="1508562D"/>
    <w:rsid w:val="15185198"/>
    <w:rsid w:val="151A33CF"/>
    <w:rsid w:val="151B1E80"/>
    <w:rsid w:val="152008E6"/>
    <w:rsid w:val="15226BAE"/>
    <w:rsid w:val="152D4D05"/>
    <w:rsid w:val="15364A29"/>
    <w:rsid w:val="154F164F"/>
    <w:rsid w:val="1552266C"/>
    <w:rsid w:val="155C1E19"/>
    <w:rsid w:val="15622F55"/>
    <w:rsid w:val="15780CE4"/>
    <w:rsid w:val="15936619"/>
    <w:rsid w:val="159876A9"/>
    <w:rsid w:val="15A73C35"/>
    <w:rsid w:val="15B0614D"/>
    <w:rsid w:val="15CE36E3"/>
    <w:rsid w:val="15D61301"/>
    <w:rsid w:val="15DF6DB4"/>
    <w:rsid w:val="15E16E3F"/>
    <w:rsid w:val="15E80676"/>
    <w:rsid w:val="15F0533B"/>
    <w:rsid w:val="15F912B4"/>
    <w:rsid w:val="16033815"/>
    <w:rsid w:val="160C1663"/>
    <w:rsid w:val="1648770E"/>
    <w:rsid w:val="164A7721"/>
    <w:rsid w:val="16585B4D"/>
    <w:rsid w:val="165E46F1"/>
    <w:rsid w:val="166417EC"/>
    <w:rsid w:val="16666123"/>
    <w:rsid w:val="167D5A0B"/>
    <w:rsid w:val="16A23179"/>
    <w:rsid w:val="16A52016"/>
    <w:rsid w:val="16A5267B"/>
    <w:rsid w:val="16B62070"/>
    <w:rsid w:val="16B641F7"/>
    <w:rsid w:val="16B83182"/>
    <w:rsid w:val="16CF0E42"/>
    <w:rsid w:val="16E34EED"/>
    <w:rsid w:val="16FB7B7A"/>
    <w:rsid w:val="16FE0836"/>
    <w:rsid w:val="170728D8"/>
    <w:rsid w:val="1710459A"/>
    <w:rsid w:val="171F3747"/>
    <w:rsid w:val="17251052"/>
    <w:rsid w:val="172E2087"/>
    <w:rsid w:val="1767333B"/>
    <w:rsid w:val="176E533C"/>
    <w:rsid w:val="17783E1C"/>
    <w:rsid w:val="17980D35"/>
    <w:rsid w:val="179C5FC0"/>
    <w:rsid w:val="179E3096"/>
    <w:rsid w:val="17A8587A"/>
    <w:rsid w:val="17B15231"/>
    <w:rsid w:val="17C63638"/>
    <w:rsid w:val="17CE37E7"/>
    <w:rsid w:val="17DC696E"/>
    <w:rsid w:val="17DE5CE0"/>
    <w:rsid w:val="17F009BD"/>
    <w:rsid w:val="17F36634"/>
    <w:rsid w:val="17F4683C"/>
    <w:rsid w:val="18052D89"/>
    <w:rsid w:val="181A6FD8"/>
    <w:rsid w:val="18237D9A"/>
    <w:rsid w:val="182E231D"/>
    <w:rsid w:val="183F7846"/>
    <w:rsid w:val="18587947"/>
    <w:rsid w:val="18655C1E"/>
    <w:rsid w:val="1866425C"/>
    <w:rsid w:val="18790F04"/>
    <w:rsid w:val="187B341D"/>
    <w:rsid w:val="188C157A"/>
    <w:rsid w:val="18B0605C"/>
    <w:rsid w:val="18B608DC"/>
    <w:rsid w:val="18BA0464"/>
    <w:rsid w:val="18C001C0"/>
    <w:rsid w:val="18C37047"/>
    <w:rsid w:val="18CF1655"/>
    <w:rsid w:val="18EA4427"/>
    <w:rsid w:val="18F67A23"/>
    <w:rsid w:val="18FA3C0F"/>
    <w:rsid w:val="18FF16A1"/>
    <w:rsid w:val="19001E4B"/>
    <w:rsid w:val="19020EE5"/>
    <w:rsid w:val="19037182"/>
    <w:rsid w:val="19155ADC"/>
    <w:rsid w:val="1934014D"/>
    <w:rsid w:val="193F47E0"/>
    <w:rsid w:val="194970AD"/>
    <w:rsid w:val="194E2099"/>
    <w:rsid w:val="19585569"/>
    <w:rsid w:val="19621BF5"/>
    <w:rsid w:val="19697FEC"/>
    <w:rsid w:val="196A4D51"/>
    <w:rsid w:val="19812D2F"/>
    <w:rsid w:val="198B19DE"/>
    <w:rsid w:val="199B710A"/>
    <w:rsid w:val="19CE3070"/>
    <w:rsid w:val="1A2D795F"/>
    <w:rsid w:val="1A3446D0"/>
    <w:rsid w:val="1A4A2125"/>
    <w:rsid w:val="1A5E7776"/>
    <w:rsid w:val="1A6A1337"/>
    <w:rsid w:val="1A6D26FE"/>
    <w:rsid w:val="1A6D79DF"/>
    <w:rsid w:val="1A737F61"/>
    <w:rsid w:val="1A7A57AA"/>
    <w:rsid w:val="1A8370D6"/>
    <w:rsid w:val="1A8D4836"/>
    <w:rsid w:val="1A992333"/>
    <w:rsid w:val="1AA53D64"/>
    <w:rsid w:val="1ACC1434"/>
    <w:rsid w:val="1AF839D6"/>
    <w:rsid w:val="1AFD0BD0"/>
    <w:rsid w:val="1B0078F2"/>
    <w:rsid w:val="1B1B5BDE"/>
    <w:rsid w:val="1B221D48"/>
    <w:rsid w:val="1B234BC9"/>
    <w:rsid w:val="1B2B273F"/>
    <w:rsid w:val="1B2D6D3B"/>
    <w:rsid w:val="1B561E83"/>
    <w:rsid w:val="1B7276BC"/>
    <w:rsid w:val="1B9638E6"/>
    <w:rsid w:val="1BA214AC"/>
    <w:rsid w:val="1BB0544B"/>
    <w:rsid w:val="1BB34810"/>
    <w:rsid w:val="1BC32A33"/>
    <w:rsid w:val="1BC94BD2"/>
    <w:rsid w:val="1BCC0E61"/>
    <w:rsid w:val="1BD04A63"/>
    <w:rsid w:val="1BE025E1"/>
    <w:rsid w:val="1BF05F4A"/>
    <w:rsid w:val="1C097BBB"/>
    <w:rsid w:val="1C174F20"/>
    <w:rsid w:val="1C531718"/>
    <w:rsid w:val="1C664630"/>
    <w:rsid w:val="1C7A42D2"/>
    <w:rsid w:val="1C817E9E"/>
    <w:rsid w:val="1C9A1802"/>
    <w:rsid w:val="1C9A7520"/>
    <w:rsid w:val="1CA32396"/>
    <w:rsid w:val="1CBA7E6B"/>
    <w:rsid w:val="1CC06198"/>
    <w:rsid w:val="1CC24B3D"/>
    <w:rsid w:val="1CD0599A"/>
    <w:rsid w:val="1CD65A21"/>
    <w:rsid w:val="1CF41268"/>
    <w:rsid w:val="1D0739B4"/>
    <w:rsid w:val="1D103EA8"/>
    <w:rsid w:val="1D12214B"/>
    <w:rsid w:val="1D160008"/>
    <w:rsid w:val="1D16367D"/>
    <w:rsid w:val="1D3745BF"/>
    <w:rsid w:val="1D3E1455"/>
    <w:rsid w:val="1D4424AB"/>
    <w:rsid w:val="1D515539"/>
    <w:rsid w:val="1D52497E"/>
    <w:rsid w:val="1D5378E8"/>
    <w:rsid w:val="1D551222"/>
    <w:rsid w:val="1D610EE9"/>
    <w:rsid w:val="1D636832"/>
    <w:rsid w:val="1D672D0C"/>
    <w:rsid w:val="1D6E6C74"/>
    <w:rsid w:val="1D7B3A5C"/>
    <w:rsid w:val="1D88614E"/>
    <w:rsid w:val="1D8E4626"/>
    <w:rsid w:val="1D9671EA"/>
    <w:rsid w:val="1D9B0A29"/>
    <w:rsid w:val="1DB6787A"/>
    <w:rsid w:val="1DEF59E7"/>
    <w:rsid w:val="1E041E0C"/>
    <w:rsid w:val="1E080C14"/>
    <w:rsid w:val="1E103335"/>
    <w:rsid w:val="1E1D417E"/>
    <w:rsid w:val="1E22012A"/>
    <w:rsid w:val="1E2B3B8A"/>
    <w:rsid w:val="1E493846"/>
    <w:rsid w:val="1E526DD6"/>
    <w:rsid w:val="1E651EEF"/>
    <w:rsid w:val="1E6D62AA"/>
    <w:rsid w:val="1E814251"/>
    <w:rsid w:val="1EA641A9"/>
    <w:rsid w:val="1EB40E70"/>
    <w:rsid w:val="1EB85056"/>
    <w:rsid w:val="1EC438F4"/>
    <w:rsid w:val="1EC70A1E"/>
    <w:rsid w:val="1EDB3619"/>
    <w:rsid w:val="1EE03051"/>
    <w:rsid w:val="1EFD5288"/>
    <w:rsid w:val="1F1063C3"/>
    <w:rsid w:val="1F116CAE"/>
    <w:rsid w:val="1F1B6954"/>
    <w:rsid w:val="1F1D19F6"/>
    <w:rsid w:val="1F25558D"/>
    <w:rsid w:val="1F2720B5"/>
    <w:rsid w:val="1F356147"/>
    <w:rsid w:val="1F3748DD"/>
    <w:rsid w:val="1F49427F"/>
    <w:rsid w:val="1F4E6A94"/>
    <w:rsid w:val="1F541995"/>
    <w:rsid w:val="1F541F0E"/>
    <w:rsid w:val="1F613266"/>
    <w:rsid w:val="1F6321B0"/>
    <w:rsid w:val="1F836383"/>
    <w:rsid w:val="1F9376A6"/>
    <w:rsid w:val="1FA561AF"/>
    <w:rsid w:val="1FC013D9"/>
    <w:rsid w:val="1FC56D50"/>
    <w:rsid w:val="1FCC7DD6"/>
    <w:rsid w:val="1FD42621"/>
    <w:rsid w:val="1FDA2EA5"/>
    <w:rsid w:val="1FEA38D8"/>
    <w:rsid w:val="1FF74F4A"/>
    <w:rsid w:val="1FFF58E9"/>
    <w:rsid w:val="20033ABD"/>
    <w:rsid w:val="20191B95"/>
    <w:rsid w:val="201B046C"/>
    <w:rsid w:val="201B6B51"/>
    <w:rsid w:val="2025241E"/>
    <w:rsid w:val="202D6949"/>
    <w:rsid w:val="2038084F"/>
    <w:rsid w:val="204005FB"/>
    <w:rsid w:val="205124B7"/>
    <w:rsid w:val="205E0115"/>
    <w:rsid w:val="20743FE8"/>
    <w:rsid w:val="20804B0C"/>
    <w:rsid w:val="2082680C"/>
    <w:rsid w:val="20860DA5"/>
    <w:rsid w:val="20922021"/>
    <w:rsid w:val="20A113C4"/>
    <w:rsid w:val="20A21390"/>
    <w:rsid w:val="20BA7137"/>
    <w:rsid w:val="20C70766"/>
    <w:rsid w:val="20CD0FF6"/>
    <w:rsid w:val="20CE5FB6"/>
    <w:rsid w:val="20DF764D"/>
    <w:rsid w:val="20E8420F"/>
    <w:rsid w:val="20EB5500"/>
    <w:rsid w:val="20F20484"/>
    <w:rsid w:val="20FC24BD"/>
    <w:rsid w:val="20FF69CB"/>
    <w:rsid w:val="21065116"/>
    <w:rsid w:val="210B4906"/>
    <w:rsid w:val="21113861"/>
    <w:rsid w:val="21241D5B"/>
    <w:rsid w:val="21287BAB"/>
    <w:rsid w:val="21391ADF"/>
    <w:rsid w:val="213A3911"/>
    <w:rsid w:val="21445BF3"/>
    <w:rsid w:val="214560DB"/>
    <w:rsid w:val="215322A3"/>
    <w:rsid w:val="21587240"/>
    <w:rsid w:val="21697D06"/>
    <w:rsid w:val="21796E23"/>
    <w:rsid w:val="218E699E"/>
    <w:rsid w:val="219435CE"/>
    <w:rsid w:val="21A1146C"/>
    <w:rsid w:val="21AE46AC"/>
    <w:rsid w:val="21B366C4"/>
    <w:rsid w:val="21BE1B16"/>
    <w:rsid w:val="21BE708C"/>
    <w:rsid w:val="21D71092"/>
    <w:rsid w:val="21D91EA1"/>
    <w:rsid w:val="21E00C57"/>
    <w:rsid w:val="21E07DE5"/>
    <w:rsid w:val="21E36390"/>
    <w:rsid w:val="21EC60C2"/>
    <w:rsid w:val="21F104CC"/>
    <w:rsid w:val="21F24913"/>
    <w:rsid w:val="2203506C"/>
    <w:rsid w:val="220B2F2F"/>
    <w:rsid w:val="22114A47"/>
    <w:rsid w:val="22162496"/>
    <w:rsid w:val="222A7822"/>
    <w:rsid w:val="223A5A6C"/>
    <w:rsid w:val="22456429"/>
    <w:rsid w:val="224746A6"/>
    <w:rsid w:val="2247505A"/>
    <w:rsid w:val="22494C19"/>
    <w:rsid w:val="2251653D"/>
    <w:rsid w:val="225E1D93"/>
    <w:rsid w:val="228945A3"/>
    <w:rsid w:val="22CE38D5"/>
    <w:rsid w:val="22CE6004"/>
    <w:rsid w:val="22D03C8E"/>
    <w:rsid w:val="22DF3E8A"/>
    <w:rsid w:val="22DF6390"/>
    <w:rsid w:val="22E00F62"/>
    <w:rsid w:val="22E411AD"/>
    <w:rsid w:val="22E75EDF"/>
    <w:rsid w:val="22FA581F"/>
    <w:rsid w:val="230A4836"/>
    <w:rsid w:val="2310305F"/>
    <w:rsid w:val="23121D2C"/>
    <w:rsid w:val="23136097"/>
    <w:rsid w:val="232059ED"/>
    <w:rsid w:val="23272499"/>
    <w:rsid w:val="232C293E"/>
    <w:rsid w:val="2358671B"/>
    <w:rsid w:val="23654E9C"/>
    <w:rsid w:val="237D330B"/>
    <w:rsid w:val="23813BF5"/>
    <w:rsid w:val="23960C52"/>
    <w:rsid w:val="23B35A45"/>
    <w:rsid w:val="23BB5382"/>
    <w:rsid w:val="23CC3735"/>
    <w:rsid w:val="23E25DC2"/>
    <w:rsid w:val="23E71EF5"/>
    <w:rsid w:val="23F16663"/>
    <w:rsid w:val="24045056"/>
    <w:rsid w:val="24231C25"/>
    <w:rsid w:val="24530EC2"/>
    <w:rsid w:val="2453500A"/>
    <w:rsid w:val="2453731D"/>
    <w:rsid w:val="24646601"/>
    <w:rsid w:val="249043C9"/>
    <w:rsid w:val="249128FD"/>
    <w:rsid w:val="249669F8"/>
    <w:rsid w:val="24BC05CA"/>
    <w:rsid w:val="24C13C04"/>
    <w:rsid w:val="24C52044"/>
    <w:rsid w:val="24D21FE5"/>
    <w:rsid w:val="24F51A2E"/>
    <w:rsid w:val="24FE2084"/>
    <w:rsid w:val="24FF00DA"/>
    <w:rsid w:val="250F185A"/>
    <w:rsid w:val="25123CAC"/>
    <w:rsid w:val="251846B9"/>
    <w:rsid w:val="251B0BCA"/>
    <w:rsid w:val="254B1A22"/>
    <w:rsid w:val="255729C7"/>
    <w:rsid w:val="256C1404"/>
    <w:rsid w:val="256F67EB"/>
    <w:rsid w:val="2583533F"/>
    <w:rsid w:val="259A4501"/>
    <w:rsid w:val="259C2D14"/>
    <w:rsid w:val="259F07D9"/>
    <w:rsid w:val="259F6A92"/>
    <w:rsid w:val="25AD7241"/>
    <w:rsid w:val="25BE4952"/>
    <w:rsid w:val="25D0560E"/>
    <w:rsid w:val="25D600A4"/>
    <w:rsid w:val="25E82822"/>
    <w:rsid w:val="25E864A0"/>
    <w:rsid w:val="25FB1E28"/>
    <w:rsid w:val="25FC3362"/>
    <w:rsid w:val="261350B2"/>
    <w:rsid w:val="262D6AB7"/>
    <w:rsid w:val="262F7227"/>
    <w:rsid w:val="263D0A6E"/>
    <w:rsid w:val="2647043D"/>
    <w:rsid w:val="26556416"/>
    <w:rsid w:val="265C7D76"/>
    <w:rsid w:val="267272FB"/>
    <w:rsid w:val="268C67B2"/>
    <w:rsid w:val="2693165D"/>
    <w:rsid w:val="26A31550"/>
    <w:rsid w:val="26AA4058"/>
    <w:rsid w:val="26E95D03"/>
    <w:rsid w:val="27031FAE"/>
    <w:rsid w:val="27236FDF"/>
    <w:rsid w:val="273113FA"/>
    <w:rsid w:val="2733335F"/>
    <w:rsid w:val="27381ECD"/>
    <w:rsid w:val="273B32F0"/>
    <w:rsid w:val="273E0425"/>
    <w:rsid w:val="273E6C96"/>
    <w:rsid w:val="27442DD3"/>
    <w:rsid w:val="2746452E"/>
    <w:rsid w:val="274D6690"/>
    <w:rsid w:val="274D7692"/>
    <w:rsid w:val="274E1BCA"/>
    <w:rsid w:val="27504AE2"/>
    <w:rsid w:val="27561432"/>
    <w:rsid w:val="275A7258"/>
    <w:rsid w:val="275C7170"/>
    <w:rsid w:val="276412D3"/>
    <w:rsid w:val="27732367"/>
    <w:rsid w:val="277A5A37"/>
    <w:rsid w:val="27890D06"/>
    <w:rsid w:val="279E41F2"/>
    <w:rsid w:val="27A533FF"/>
    <w:rsid w:val="27B933B5"/>
    <w:rsid w:val="27DD7A89"/>
    <w:rsid w:val="27EE7573"/>
    <w:rsid w:val="280415C5"/>
    <w:rsid w:val="280A7B32"/>
    <w:rsid w:val="280F2538"/>
    <w:rsid w:val="28124C93"/>
    <w:rsid w:val="28240A71"/>
    <w:rsid w:val="28387826"/>
    <w:rsid w:val="28416242"/>
    <w:rsid w:val="28420B2D"/>
    <w:rsid w:val="28576B4A"/>
    <w:rsid w:val="2859108A"/>
    <w:rsid w:val="28601721"/>
    <w:rsid w:val="2875259B"/>
    <w:rsid w:val="28AA7A1E"/>
    <w:rsid w:val="28B337EE"/>
    <w:rsid w:val="28D91718"/>
    <w:rsid w:val="28E31E9E"/>
    <w:rsid w:val="28F44E63"/>
    <w:rsid w:val="28FE2095"/>
    <w:rsid w:val="28FE2A4B"/>
    <w:rsid w:val="28FF1E75"/>
    <w:rsid w:val="29022F78"/>
    <w:rsid w:val="291154EE"/>
    <w:rsid w:val="291A676B"/>
    <w:rsid w:val="292A43FA"/>
    <w:rsid w:val="29323FCF"/>
    <w:rsid w:val="29384A6F"/>
    <w:rsid w:val="294176C7"/>
    <w:rsid w:val="294B49A2"/>
    <w:rsid w:val="295A1E76"/>
    <w:rsid w:val="29734505"/>
    <w:rsid w:val="29797B25"/>
    <w:rsid w:val="297F0200"/>
    <w:rsid w:val="29AA63FB"/>
    <w:rsid w:val="29AB5D55"/>
    <w:rsid w:val="29B87039"/>
    <w:rsid w:val="29BE3153"/>
    <w:rsid w:val="29D84606"/>
    <w:rsid w:val="29D913AA"/>
    <w:rsid w:val="29E06A51"/>
    <w:rsid w:val="29F15D29"/>
    <w:rsid w:val="29F4070D"/>
    <w:rsid w:val="2A0A737E"/>
    <w:rsid w:val="2A0D6FCC"/>
    <w:rsid w:val="2A0F69C3"/>
    <w:rsid w:val="2A247C5A"/>
    <w:rsid w:val="2A306444"/>
    <w:rsid w:val="2A331018"/>
    <w:rsid w:val="2A412596"/>
    <w:rsid w:val="2A494FC4"/>
    <w:rsid w:val="2A58540A"/>
    <w:rsid w:val="2A783C29"/>
    <w:rsid w:val="2A8C2CDF"/>
    <w:rsid w:val="2A974EE1"/>
    <w:rsid w:val="2AAD4E5C"/>
    <w:rsid w:val="2ABD2C4E"/>
    <w:rsid w:val="2AC31A33"/>
    <w:rsid w:val="2AD72AB8"/>
    <w:rsid w:val="2AD83E99"/>
    <w:rsid w:val="2ADA4922"/>
    <w:rsid w:val="2ADE15CF"/>
    <w:rsid w:val="2AE92C3F"/>
    <w:rsid w:val="2B0965E0"/>
    <w:rsid w:val="2B222CDE"/>
    <w:rsid w:val="2B3205C9"/>
    <w:rsid w:val="2B360621"/>
    <w:rsid w:val="2B375301"/>
    <w:rsid w:val="2B4C3465"/>
    <w:rsid w:val="2B59732C"/>
    <w:rsid w:val="2B5D1283"/>
    <w:rsid w:val="2B644ED9"/>
    <w:rsid w:val="2B6B11B9"/>
    <w:rsid w:val="2B704029"/>
    <w:rsid w:val="2B9F19CA"/>
    <w:rsid w:val="2BBF1545"/>
    <w:rsid w:val="2BCB0536"/>
    <w:rsid w:val="2BDE10F7"/>
    <w:rsid w:val="2BE75E9C"/>
    <w:rsid w:val="2BF0675B"/>
    <w:rsid w:val="2BF75B2A"/>
    <w:rsid w:val="2C016D81"/>
    <w:rsid w:val="2C0C075C"/>
    <w:rsid w:val="2C10170B"/>
    <w:rsid w:val="2C1216AD"/>
    <w:rsid w:val="2C1C259F"/>
    <w:rsid w:val="2C1F1CE5"/>
    <w:rsid w:val="2C2D0C9F"/>
    <w:rsid w:val="2C361B8F"/>
    <w:rsid w:val="2C395FA5"/>
    <w:rsid w:val="2C407559"/>
    <w:rsid w:val="2C730FFE"/>
    <w:rsid w:val="2C8045DF"/>
    <w:rsid w:val="2C8F75C0"/>
    <w:rsid w:val="2C961086"/>
    <w:rsid w:val="2CAA2BA3"/>
    <w:rsid w:val="2CB15D69"/>
    <w:rsid w:val="2CC652C5"/>
    <w:rsid w:val="2CD80F9B"/>
    <w:rsid w:val="2CDF71DA"/>
    <w:rsid w:val="2D017652"/>
    <w:rsid w:val="2D07286C"/>
    <w:rsid w:val="2D0E4E14"/>
    <w:rsid w:val="2D0F6443"/>
    <w:rsid w:val="2D104E83"/>
    <w:rsid w:val="2D1E0DE5"/>
    <w:rsid w:val="2D254EF2"/>
    <w:rsid w:val="2D273093"/>
    <w:rsid w:val="2D315029"/>
    <w:rsid w:val="2D346DDB"/>
    <w:rsid w:val="2D365433"/>
    <w:rsid w:val="2D3E50F1"/>
    <w:rsid w:val="2D4F0D27"/>
    <w:rsid w:val="2D500F86"/>
    <w:rsid w:val="2D602C54"/>
    <w:rsid w:val="2D6B7328"/>
    <w:rsid w:val="2D7101EB"/>
    <w:rsid w:val="2D716081"/>
    <w:rsid w:val="2D763AD7"/>
    <w:rsid w:val="2D972BC4"/>
    <w:rsid w:val="2DA45977"/>
    <w:rsid w:val="2DA83B2A"/>
    <w:rsid w:val="2DB74A4B"/>
    <w:rsid w:val="2DC70371"/>
    <w:rsid w:val="2DCE0733"/>
    <w:rsid w:val="2DD42EA9"/>
    <w:rsid w:val="2DDB504B"/>
    <w:rsid w:val="2DF52D1B"/>
    <w:rsid w:val="2DF6158C"/>
    <w:rsid w:val="2DF94529"/>
    <w:rsid w:val="2E061DB9"/>
    <w:rsid w:val="2E0D7485"/>
    <w:rsid w:val="2E1C7642"/>
    <w:rsid w:val="2E2B7BED"/>
    <w:rsid w:val="2E310824"/>
    <w:rsid w:val="2E400143"/>
    <w:rsid w:val="2E563700"/>
    <w:rsid w:val="2E5E0372"/>
    <w:rsid w:val="2E96322F"/>
    <w:rsid w:val="2E987D16"/>
    <w:rsid w:val="2EB52BE7"/>
    <w:rsid w:val="2EBA4A79"/>
    <w:rsid w:val="2EC570DE"/>
    <w:rsid w:val="2EE17440"/>
    <w:rsid w:val="2F1F02BB"/>
    <w:rsid w:val="2F36368A"/>
    <w:rsid w:val="2F3F098B"/>
    <w:rsid w:val="2F5776AD"/>
    <w:rsid w:val="2F643F43"/>
    <w:rsid w:val="2F6C7E93"/>
    <w:rsid w:val="2F6D76E1"/>
    <w:rsid w:val="2F7862E1"/>
    <w:rsid w:val="2F795016"/>
    <w:rsid w:val="2F7A1CBD"/>
    <w:rsid w:val="2F7C0087"/>
    <w:rsid w:val="2F7F188A"/>
    <w:rsid w:val="2F8E1DE6"/>
    <w:rsid w:val="2F8E4CC8"/>
    <w:rsid w:val="2F9B5FE1"/>
    <w:rsid w:val="2FA13481"/>
    <w:rsid w:val="2FA1474D"/>
    <w:rsid w:val="2FA56AB8"/>
    <w:rsid w:val="2FAE68C2"/>
    <w:rsid w:val="2FB34F11"/>
    <w:rsid w:val="2FDA591A"/>
    <w:rsid w:val="2FDA5A0A"/>
    <w:rsid w:val="2FF14080"/>
    <w:rsid w:val="300427EC"/>
    <w:rsid w:val="3021476C"/>
    <w:rsid w:val="30311B0B"/>
    <w:rsid w:val="305546BC"/>
    <w:rsid w:val="305F2108"/>
    <w:rsid w:val="30641BEA"/>
    <w:rsid w:val="30773656"/>
    <w:rsid w:val="30777574"/>
    <w:rsid w:val="307E1424"/>
    <w:rsid w:val="30850149"/>
    <w:rsid w:val="308C117A"/>
    <w:rsid w:val="30A05F72"/>
    <w:rsid w:val="30A1339D"/>
    <w:rsid w:val="30A76F80"/>
    <w:rsid w:val="30DC5FD5"/>
    <w:rsid w:val="30E6736C"/>
    <w:rsid w:val="30EA2532"/>
    <w:rsid w:val="30ED177C"/>
    <w:rsid w:val="30EF4DB1"/>
    <w:rsid w:val="31021C11"/>
    <w:rsid w:val="3107629A"/>
    <w:rsid w:val="310C5D4D"/>
    <w:rsid w:val="310E60D3"/>
    <w:rsid w:val="31131B17"/>
    <w:rsid w:val="311C0211"/>
    <w:rsid w:val="312C51A4"/>
    <w:rsid w:val="3130595B"/>
    <w:rsid w:val="313A18B5"/>
    <w:rsid w:val="314D2A6D"/>
    <w:rsid w:val="31517562"/>
    <w:rsid w:val="31730D95"/>
    <w:rsid w:val="317E6039"/>
    <w:rsid w:val="318A2D04"/>
    <w:rsid w:val="31A950EC"/>
    <w:rsid w:val="31B124B0"/>
    <w:rsid w:val="31B972D3"/>
    <w:rsid w:val="31C52370"/>
    <w:rsid w:val="31C72B51"/>
    <w:rsid w:val="31CA24E5"/>
    <w:rsid w:val="31CB30E9"/>
    <w:rsid w:val="31CB30F5"/>
    <w:rsid w:val="31D719F2"/>
    <w:rsid w:val="31EE0842"/>
    <w:rsid w:val="32086847"/>
    <w:rsid w:val="322014F5"/>
    <w:rsid w:val="32293130"/>
    <w:rsid w:val="32323493"/>
    <w:rsid w:val="32324EA7"/>
    <w:rsid w:val="32336392"/>
    <w:rsid w:val="323871E1"/>
    <w:rsid w:val="32425855"/>
    <w:rsid w:val="324B1C69"/>
    <w:rsid w:val="325201CA"/>
    <w:rsid w:val="32613ADE"/>
    <w:rsid w:val="3264489E"/>
    <w:rsid w:val="32686C47"/>
    <w:rsid w:val="326F1C15"/>
    <w:rsid w:val="32731353"/>
    <w:rsid w:val="32797751"/>
    <w:rsid w:val="327C6491"/>
    <w:rsid w:val="328468C5"/>
    <w:rsid w:val="329E2259"/>
    <w:rsid w:val="32A12ACE"/>
    <w:rsid w:val="32A32053"/>
    <w:rsid w:val="32B52A90"/>
    <w:rsid w:val="32B86EBA"/>
    <w:rsid w:val="32CC26A0"/>
    <w:rsid w:val="32CD2DF6"/>
    <w:rsid w:val="32D26D7C"/>
    <w:rsid w:val="32D31F1B"/>
    <w:rsid w:val="32DF6A30"/>
    <w:rsid w:val="32ED6FB6"/>
    <w:rsid w:val="32EE013A"/>
    <w:rsid w:val="32F45F09"/>
    <w:rsid w:val="33060216"/>
    <w:rsid w:val="330E5461"/>
    <w:rsid w:val="3313646C"/>
    <w:rsid w:val="33220DAD"/>
    <w:rsid w:val="33337526"/>
    <w:rsid w:val="33340151"/>
    <w:rsid w:val="33360466"/>
    <w:rsid w:val="335400C4"/>
    <w:rsid w:val="335C7BD8"/>
    <w:rsid w:val="336F3A2C"/>
    <w:rsid w:val="33747C69"/>
    <w:rsid w:val="33A50E8E"/>
    <w:rsid w:val="33A54923"/>
    <w:rsid w:val="33A932B4"/>
    <w:rsid w:val="33BC0549"/>
    <w:rsid w:val="33CB5D5B"/>
    <w:rsid w:val="33ED1CE2"/>
    <w:rsid w:val="33ED6045"/>
    <w:rsid w:val="341173A1"/>
    <w:rsid w:val="3419310B"/>
    <w:rsid w:val="3419633A"/>
    <w:rsid w:val="341C451E"/>
    <w:rsid w:val="34346C79"/>
    <w:rsid w:val="347C4936"/>
    <w:rsid w:val="34A460F6"/>
    <w:rsid w:val="34BF400D"/>
    <w:rsid w:val="34CA78E6"/>
    <w:rsid w:val="34D15453"/>
    <w:rsid w:val="34E409E8"/>
    <w:rsid w:val="34EE7D92"/>
    <w:rsid w:val="34EF4800"/>
    <w:rsid w:val="34F00BC3"/>
    <w:rsid w:val="34FA4F82"/>
    <w:rsid w:val="34FD2D31"/>
    <w:rsid w:val="35197B8D"/>
    <w:rsid w:val="351D2976"/>
    <w:rsid w:val="35260273"/>
    <w:rsid w:val="35316971"/>
    <w:rsid w:val="35330D36"/>
    <w:rsid w:val="35454255"/>
    <w:rsid w:val="354C24CF"/>
    <w:rsid w:val="35610CEA"/>
    <w:rsid w:val="35657C79"/>
    <w:rsid w:val="35752A81"/>
    <w:rsid w:val="357A0628"/>
    <w:rsid w:val="35817458"/>
    <w:rsid w:val="358F0DA0"/>
    <w:rsid w:val="35962F27"/>
    <w:rsid w:val="35A91F17"/>
    <w:rsid w:val="35B30086"/>
    <w:rsid w:val="35BA331F"/>
    <w:rsid w:val="35D8306C"/>
    <w:rsid w:val="35E10DB0"/>
    <w:rsid w:val="35F47363"/>
    <w:rsid w:val="35F52B9C"/>
    <w:rsid w:val="36183B8E"/>
    <w:rsid w:val="361E7A93"/>
    <w:rsid w:val="366A4F25"/>
    <w:rsid w:val="36717FAC"/>
    <w:rsid w:val="367D0971"/>
    <w:rsid w:val="369D4861"/>
    <w:rsid w:val="36B972C3"/>
    <w:rsid w:val="36BB1C54"/>
    <w:rsid w:val="36C37F24"/>
    <w:rsid w:val="36C533D7"/>
    <w:rsid w:val="36D977C1"/>
    <w:rsid w:val="36E23337"/>
    <w:rsid w:val="371E4C9A"/>
    <w:rsid w:val="37273217"/>
    <w:rsid w:val="373C6DD1"/>
    <w:rsid w:val="3746289C"/>
    <w:rsid w:val="374A68A0"/>
    <w:rsid w:val="375E3C64"/>
    <w:rsid w:val="376E41B0"/>
    <w:rsid w:val="37792848"/>
    <w:rsid w:val="378353B2"/>
    <w:rsid w:val="378438A6"/>
    <w:rsid w:val="378C2917"/>
    <w:rsid w:val="37A32031"/>
    <w:rsid w:val="37AF093E"/>
    <w:rsid w:val="37C0752F"/>
    <w:rsid w:val="37D64424"/>
    <w:rsid w:val="37D66A0E"/>
    <w:rsid w:val="37D9185E"/>
    <w:rsid w:val="37F74232"/>
    <w:rsid w:val="38025C35"/>
    <w:rsid w:val="38180EB6"/>
    <w:rsid w:val="38236CD2"/>
    <w:rsid w:val="38323843"/>
    <w:rsid w:val="38374109"/>
    <w:rsid w:val="383927A0"/>
    <w:rsid w:val="384356AE"/>
    <w:rsid w:val="38533C74"/>
    <w:rsid w:val="385859B3"/>
    <w:rsid w:val="385A7D48"/>
    <w:rsid w:val="385B1312"/>
    <w:rsid w:val="385B70DE"/>
    <w:rsid w:val="38600190"/>
    <w:rsid w:val="386A50AA"/>
    <w:rsid w:val="387B0591"/>
    <w:rsid w:val="38B70E2E"/>
    <w:rsid w:val="38C44CB1"/>
    <w:rsid w:val="38C8225A"/>
    <w:rsid w:val="38D24594"/>
    <w:rsid w:val="38D80A29"/>
    <w:rsid w:val="39033C43"/>
    <w:rsid w:val="39204D01"/>
    <w:rsid w:val="39367633"/>
    <w:rsid w:val="39395282"/>
    <w:rsid w:val="397A44C2"/>
    <w:rsid w:val="397C2FEC"/>
    <w:rsid w:val="398D5C4A"/>
    <w:rsid w:val="398F287A"/>
    <w:rsid w:val="399544B6"/>
    <w:rsid w:val="399D27E5"/>
    <w:rsid w:val="39B1595B"/>
    <w:rsid w:val="39E679D0"/>
    <w:rsid w:val="3A00123F"/>
    <w:rsid w:val="3A037B53"/>
    <w:rsid w:val="3A066398"/>
    <w:rsid w:val="3A1D2C6E"/>
    <w:rsid w:val="3A2B18C9"/>
    <w:rsid w:val="3A2F425E"/>
    <w:rsid w:val="3A4806D8"/>
    <w:rsid w:val="3A5D35EB"/>
    <w:rsid w:val="3A5E4E85"/>
    <w:rsid w:val="3A5F1AAC"/>
    <w:rsid w:val="3A732BC0"/>
    <w:rsid w:val="3A807B6F"/>
    <w:rsid w:val="3A871E3B"/>
    <w:rsid w:val="3A877551"/>
    <w:rsid w:val="3A8A6220"/>
    <w:rsid w:val="3A9C4CDB"/>
    <w:rsid w:val="3AA163F6"/>
    <w:rsid w:val="3AAA44BC"/>
    <w:rsid w:val="3AB62DC4"/>
    <w:rsid w:val="3ABD75C6"/>
    <w:rsid w:val="3ADC3BA1"/>
    <w:rsid w:val="3ADD3BDB"/>
    <w:rsid w:val="3AE619FE"/>
    <w:rsid w:val="3AFB7AC3"/>
    <w:rsid w:val="3B11596C"/>
    <w:rsid w:val="3B366FB8"/>
    <w:rsid w:val="3B3E316E"/>
    <w:rsid w:val="3B4F2DA6"/>
    <w:rsid w:val="3B530FF3"/>
    <w:rsid w:val="3B5916B7"/>
    <w:rsid w:val="3B5A65AD"/>
    <w:rsid w:val="3B7F07D9"/>
    <w:rsid w:val="3B831CE8"/>
    <w:rsid w:val="3B846E7C"/>
    <w:rsid w:val="3B857D52"/>
    <w:rsid w:val="3B94333A"/>
    <w:rsid w:val="3BD356E6"/>
    <w:rsid w:val="3BEC10D3"/>
    <w:rsid w:val="3BED47A1"/>
    <w:rsid w:val="3BF570E0"/>
    <w:rsid w:val="3BF83A4B"/>
    <w:rsid w:val="3BFB6262"/>
    <w:rsid w:val="3C043DCE"/>
    <w:rsid w:val="3C0B1235"/>
    <w:rsid w:val="3C1E10BD"/>
    <w:rsid w:val="3C2B5920"/>
    <w:rsid w:val="3C592F52"/>
    <w:rsid w:val="3C915B06"/>
    <w:rsid w:val="3C924864"/>
    <w:rsid w:val="3C9B19A6"/>
    <w:rsid w:val="3CA342B3"/>
    <w:rsid w:val="3CAE7A61"/>
    <w:rsid w:val="3CB470DC"/>
    <w:rsid w:val="3CC23BF3"/>
    <w:rsid w:val="3CD61245"/>
    <w:rsid w:val="3CDC4588"/>
    <w:rsid w:val="3CE80473"/>
    <w:rsid w:val="3CE84966"/>
    <w:rsid w:val="3CFB1E29"/>
    <w:rsid w:val="3D09443C"/>
    <w:rsid w:val="3D127161"/>
    <w:rsid w:val="3D150FB0"/>
    <w:rsid w:val="3D1816D7"/>
    <w:rsid w:val="3D2F0DBF"/>
    <w:rsid w:val="3D322A7A"/>
    <w:rsid w:val="3D3811F3"/>
    <w:rsid w:val="3D3D1724"/>
    <w:rsid w:val="3D5176E8"/>
    <w:rsid w:val="3D66544A"/>
    <w:rsid w:val="3D6D1C3E"/>
    <w:rsid w:val="3D70460C"/>
    <w:rsid w:val="3D781925"/>
    <w:rsid w:val="3D877B4C"/>
    <w:rsid w:val="3D923CC1"/>
    <w:rsid w:val="3DAD12D2"/>
    <w:rsid w:val="3DB05E54"/>
    <w:rsid w:val="3DC121C3"/>
    <w:rsid w:val="3DC80C09"/>
    <w:rsid w:val="3DCF6316"/>
    <w:rsid w:val="3DD62F06"/>
    <w:rsid w:val="3DDD00A6"/>
    <w:rsid w:val="3DE10669"/>
    <w:rsid w:val="3DE83C63"/>
    <w:rsid w:val="3DF625AA"/>
    <w:rsid w:val="3E0616F3"/>
    <w:rsid w:val="3E302873"/>
    <w:rsid w:val="3E30797A"/>
    <w:rsid w:val="3E315F08"/>
    <w:rsid w:val="3E342A49"/>
    <w:rsid w:val="3E4937D9"/>
    <w:rsid w:val="3E514ACD"/>
    <w:rsid w:val="3E5D032C"/>
    <w:rsid w:val="3E66798E"/>
    <w:rsid w:val="3E764E29"/>
    <w:rsid w:val="3E7976ED"/>
    <w:rsid w:val="3E7A3D4D"/>
    <w:rsid w:val="3E804667"/>
    <w:rsid w:val="3E907571"/>
    <w:rsid w:val="3E9F3C22"/>
    <w:rsid w:val="3EA23BBF"/>
    <w:rsid w:val="3EA50EBF"/>
    <w:rsid w:val="3EAC0385"/>
    <w:rsid w:val="3EBB0827"/>
    <w:rsid w:val="3EBB5106"/>
    <w:rsid w:val="3ED61205"/>
    <w:rsid w:val="3EE9362A"/>
    <w:rsid w:val="3EED7CEB"/>
    <w:rsid w:val="3F0B27D1"/>
    <w:rsid w:val="3F247981"/>
    <w:rsid w:val="3F383AE2"/>
    <w:rsid w:val="3F47034A"/>
    <w:rsid w:val="3F6D01E6"/>
    <w:rsid w:val="3F6F4392"/>
    <w:rsid w:val="3F7270C6"/>
    <w:rsid w:val="3FBC0515"/>
    <w:rsid w:val="3FC75CC5"/>
    <w:rsid w:val="3FC92CF1"/>
    <w:rsid w:val="3FD13B89"/>
    <w:rsid w:val="3FD7364E"/>
    <w:rsid w:val="3FDB2873"/>
    <w:rsid w:val="3FE3230E"/>
    <w:rsid w:val="3FEC55D6"/>
    <w:rsid w:val="3FEF4174"/>
    <w:rsid w:val="3FF279E0"/>
    <w:rsid w:val="400044C8"/>
    <w:rsid w:val="401E17B1"/>
    <w:rsid w:val="40565B1B"/>
    <w:rsid w:val="405B0AE7"/>
    <w:rsid w:val="405F723B"/>
    <w:rsid w:val="406C254E"/>
    <w:rsid w:val="406D29BB"/>
    <w:rsid w:val="406F3ED8"/>
    <w:rsid w:val="407F4984"/>
    <w:rsid w:val="40870B0C"/>
    <w:rsid w:val="4093679E"/>
    <w:rsid w:val="40A426F5"/>
    <w:rsid w:val="40BF5FFE"/>
    <w:rsid w:val="40C06C9E"/>
    <w:rsid w:val="40D855B9"/>
    <w:rsid w:val="40D8629F"/>
    <w:rsid w:val="40D93572"/>
    <w:rsid w:val="41042447"/>
    <w:rsid w:val="41306C03"/>
    <w:rsid w:val="41341421"/>
    <w:rsid w:val="414B4F9C"/>
    <w:rsid w:val="416362BE"/>
    <w:rsid w:val="416F59B3"/>
    <w:rsid w:val="41721D8D"/>
    <w:rsid w:val="4173572C"/>
    <w:rsid w:val="417C160A"/>
    <w:rsid w:val="4196491A"/>
    <w:rsid w:val="41A05E8C"/>
    <w:rsid w:val="41A26AB9"/>
    <w:rsid w:val="41C34587"/>
    <w:rsid w:val="41C774DB"/>
    <w:rsid w:val="41CB4C59"/>
    <w:rsid w:val="41D30327"/>
    <w:rsid w:val="41DD386B"/>
    <w:rsid w:val="41E934C1"/>
    <w:rsid w:val="41EB6B2D"/>
    <w:rsid w:val="41EC0BC7"/>
    <w:rsid w:val="41EC6921"/>
    <w:rsid w:val="41F36C5E"/>
    <w:rsid w:val="41F5232A"/>
    <w:rsid w:val="41FA3BF9"/>
    <w:rsid w:val="42107DFF"/>
    <w:rsid w:val="421807B8"/>
    <w:rsid w:val="421822B2"/>
    <w:rsid w:val="42186A22"/>
    <w:rsid w:val="42243F29"/>
    <w:rsid w:val="42283010"/>
    <w:rsid w:val="42321516"/>
    <w:rsid w:val="42350F2F"/>
    <w:rsid w:val="4236034B"/>
    <w:rsid w:val="42397C25"/>
    <w:rsid w:val="424C519E"/>
    <w:rsid w:val="42616277"/>
    <w:rsid w:val="426C1007"/>
    <w:rsid w:val="427B5362"/>
    <w:rsid w:val="42815672"/>
    <w:rsid w:val="42886791"/>
    <w:rsid w:val="428938A9"/>
    <w:rsid w:val="429056A2"/>
    <w:rsid w:val="429C4AE7"/>
    <w:rsid w:val="42C26D37"/>
    <w:rsid w:val="42DB5F35"/>
    <w:rsid w:val="42DF0C13"/>
    <w:rsid w:val="43110842"/>
    <w:rsid w:val="43190EB9"/>
    <w:rsid w:val="435572B7"/>
    <w:rsid w:val="43620CBC"/>
    <w:rsid w:val="43727076"/>
    <w:rsid w:val="437B1A25"/>
    <w:rsid w:val="437E6359"/>
    <w:rsid w:val="438C4B44"/>
    <w:rsid w:val="43A84C50"/>
    <w:rsid w:val="43B139AE"/>
    <w:rsid w:val="43C137E1"/>
    <w:rsid w:val="43C26226"/>
    <w:rsid w:val="43C5087D"/>
    <w:rsid w:val="43D450AA"/>
    <w:rsid w:val="43DC7C1C"/>
    <w:rsid w:val="44064F90"/>
    <w:rsid w:val="440D5566"/>
    <w:rsid w:val="442063FC"/>
    <w:rsid w:val="44347938"/>
    <w:rsid w:val="44492FEE"/>
    <w:rsid w:val="44572D26"/>
    <w:rsid w:val="445A314E"/>
    <w:rsid w:val="44661D59"/>
    <w:rsid w:val="44A57C3C"/>
    <w:rsid w:val="44A60A59"/>
    <w:rsid w:val="44A76ADE"/>
    <w:rsid w:val="44B66B8C"/>
    <w:rsid w:val="44BD7D46"/>
    <w:rsid w:val="44EF5A55"/>
    <w:rsid w:val="44F71F95"/>
    <w:rsid w:val="44FB642F"/>
    <w:rsid w:val="44FE2C2C"/>
    <w:rsid w:val="450D7BB6"/>
    <w:rsid w:val="451317FD"/>
    <w:rsid w:val="45255766"/>
    <w:rsid w:val="452B3573"/>
    <w:rsid w:val="45454166"/>
    <w:rsid w:val="454F2AF3"/>
    <w:rsid w:val="455C1B90"/>
    <w:rsid w:val="45633DE9"/>
    <w:rsid w:val="456719F6"/>
    <w:rsid w:val="456C4F76"/>
    <w:rsid w:val="456D3A04"/>
    <w:rsid w:val="45755B1F"/>
    <w:rsid w:val="45831139"/>
    <w:rsid w:val="45842264"/>
    <w:rsid w:val="45846053"/>
    <w:rsid w:val="45964F2E"/>
    <w:rsid w:val="45A17C04"/>
    <w:rsid w:val="45A74CFA"/>
    <w:rsid w:val="45A969B0"/>
    <w:rsid w:val="45B64FF0"/>
    <w:rsid w:val="45CB4D17"/>
    <w:rsid w:val="45CE5D31"/>
    <w:rsid w:val="45E562C1"/>
    <w:rsid w:val="461416CA"/>
    <w:rsid w:val="46155F14"/>
    <w:rsid w:val="462B2E35"/>
    <w:rsid w:val="462E2461"/>
    <w:rsid w:val="46430EAF"/>
    <w:rsid w:val="465915B6"/>
    <w:rsid w:val="465E2700"/>
    <w:rsid w:val="46736C03"/>
    <w:rsid w:val="468E6EA0"/>
    <w:rsid w:val="46A31738"/>
    <w:rsid w:val="46A63663"/>
    <w:rsid w:val="46A677BD"/>
    <w:rsid w:val="46AB77C7"/>
    <w:rsid w:val="46B0527B"/>
    <w:rsid w:val="46C11650"/>
    <w:rsid w:val="46C9007E"/>
    <w:rsid w:val="46E007D6"/>
    <w:rsid w:val="46E90C43"/>
    <w:rsid w:val="46EA7015"/>
    <w:rsid w:val="46EE2CE9"/>
    <w:rsid w:val="46FC5CD8"/>
    <w:rsid w:val="46FE6FB2"/>
    <w:rsid w:val="47251D00"/>
    <w:rsid w:val="47310A00"/>
    <w:rsid w:val="47522056"/>
    <w:rsid w:val="47567AEA"/>
    <w:rsid w:val="475A70E3"/>
    <w:rsid w:val="476E54B3"/>
    <w:rsid w:val="47757832"/>
    <w:rsid w:val="477E18A2"/>
    <w:rsid w:val="477F5F6E"/>
    <w:rsid w:val="47897873"/>
    <w:rsid w:val="47941684"/>
    <w:rsid w:val="479749FD"/>
    <w:rsid w:val="47B126F0"/>
    <w:rsid w:val="47B343A9"/>
    <w:rsid w:val="47C34162"/>
    <w:rsid w:val="47C81432"/>
    <w:rsid w:val="47CA71FE"/>
    <w:rsid w:val="47D86D26"/>
    <w:rsid w:val="47DD6CE6"/>
    <w:rsid w:val="47DF0FAB"/>
    <w:rsid w:val="47EC14FD"/>
    <w:rsid w:val="47F86270"/>
    <w:rsid w:val="48055E45"/>
    <w:rsid w:val="480A0473"/>
    <w:rsid w:val="480A3D08"/>
    <w:rsid w:val="480A6BE9"/>
    <w:rsid w:val="48115C79"/>
    <w:rsid w:val="48132D9B"/>
    <w:rsid w:val="4815615B"/>
    <w:rsid w:val="482B68B8"/>
    <w:rsid w:val="48307318"/>
    <w:rsid w:val="48540953"/>
    <w:rsid w:val="48567867"/>
    <w:rsid w:val="485B2F8E"/>
    <w:rsid w:val="485F6896"/>
    <w:rsid w:val="4863475F"/>
    <w:rsid w:val="486E7F3A"/>
    <w:rsid w:val="48880115"/>
    <w:rsid w:val="488F3392"/>
    <w:rsid w:val="488F7917"/>
    <w:rsid w:val="48930281"/>
    <w:rsid w:val="48A2456A"/>
    <w:rsid w:val="48A56750"/>
    <w:rsid w:val="48CE3DC1"/>
    <w:rsid w:val="48D171C0"/>
    <w:rsid w:val="48DD20C0"/>
    <w:rsid w:val="48E551E4"/>
    <w:rsid w:val="48EC0BAD"/>
    <w:rsid w:val="48FF28CF"/>
    <w:rsid w:val="49016997"/>
    <w:rsid w:val="49086136"/>
    <w:rsid w:val="49163549"/>
    <w:rsid w:val="4919090B"/>
    <w:rsid w:val="49211C5F"/>
    <w:rsid w:val="492226D5"/>
    <w:rsid w:val="492707E3"/>
    <w:rsid w:val="4934624C"/>
    <w:rsid w:val="49374505"/>
    <w:rsid w:val="49393B70"/>
    <w:rsid w:val="49533FEF"/>
    <w:rsid w:val="495D3C4A"/>
    <w:rsid w:val="495E56B4"/>
    <w:rsid w:val="49606D58"/>
    <w:rsid w:val="496A761D"/>
    <w:rsid w:val="4976175D"/>
    <w:rsid w:val="4986373F"/>
    <w:rsid w:val="49893738"/>
    <w:rsid w:val="499B12C2"/>
    <w:rsid w:val="499E2F6B"/>
    <w:rsid w:val="49A019B6"/>
    <w:rsid w:val="49A179E4"/>
    <w:rsid w:val="49A30E1C"/>
    <w:rsid w:val="49B068F4"/>
    <w:rsid w:val="49C00396"/>
    <w:rsid w:val="49C170B7"/>
    <w:rsid w:val="49CA2758"/>
    <w:rsid w:val="49E22A2D"/>
    <w:rsid w:val="49E767A2"/>
    <w:rsid w:val="49EB33BE"/>
    <w:rsid w:val="49F27536"/>
    <w:rsid w:val="49FD7341"/>
    <w:rsid w:val="4A002E08"/>
    <w:rsid w:val="4A02584B"/>
    <w:rsid w:val="4A055A37"/>
    <w:rsid w:val="4A072F0A"/>
    <w:rsid w:val="4A0913DF"/>
    <w:rsid w:val="4A0D787E"/>
    <w:rsid w:val="4A1E460C"/>
    <w:rsid w:val="4A2E6098"/>
    <w:rsid w:val="4A342FB1"/>
    <w:rsid w:val="4A354D49"/>
    <w:rsid w:val="4A49107F"/>
    <w:rsid w:val="4A501AD7"/>
    <w:rsid w:val="4A5405A0"/>
    <w:rsid w:val="4A562816"/>
    <w:rsid w:val="4A5772DD"/>
    <w:rsid w:val="4A6820C2"/>
    <w:rsid w:val="4A6F1623"/>
    <w:rsid w:val="4A8D0490"/>
    <w:rsid w:val="4A934AB2"/>
    <w:rsid w:val="4A9905F6"/>
    <w:rsid w:val="4AB358AD"/>
    <w:rsid w:val="4AB74DA8"/>
    <w:rsid w:val="4ABD0BEE"/>
    <w:rsid w:val="4AC679F6"/>
    <w:rsid w:val="4AD83544"/>
    <w:rsid w:val="4ADD6804"/>
    <w:rsid w:val="4AE275B2"/>
    <w:rsid w:val="4AE351FA"/>
    <w:rsid w:val="4B1113A8"/>
    <w:rsid w:val="4B124F08"/>
    <w:rsid w:val="4B150197"/>
    <w:rsid w:val="4B194A99"/>
    <w:rsid w:val="4B1A76AF"/>
    <w:rsid w:val="4B1B15A2"/>
    <w:rsid w:val="4B212FC2"/>
    <w:rsid w:val="4B230108"/>
    <w:rsid w:val="4B2B2449"/>
    <w:rsid w:val="4B3B0436"/>
    <w:rsid w:val="4B6C74B4"/>
    <w:rsid w:val="4B72630D"/>
    <w:rsid w:val="4B7C127C"/>
    <w:rsid w:val="4B7C388F"/>
    <w:rsid w:val="4B7E107A"/>
    <w:rsid w:val="4B894981"/>
    <w:rsid w:val="4B894AD0"/>
    <w:rsid w:val="4B8F1FB0"/>
    <w:rsid w:val="4B90315E"/>
    <w:rsid w:val="4B9828F0"/>
    <w:rsid w:val="4BA75082"/>
    <w:rsid w:val="4BA84992"/>
    <w:rsid w:val="4BB37D87"/>
    <w:rsid w:val="4BB52626"/>
    <w:rsid w:val="4BBB53BA"/>
    <w:rsid w:val="4BBC55FA"/>
    <w:rsid w:val="4BCE45BC"/>
    <w:rsid w:val="4BD00214"/>
    <w:rsid w:val="4BEA7A98"/>
    <w:rsid w:val="4BFE7DD0"/>
    <w:rsid w:val="4C0A546C"/>
    <w:rsid w:val="4C0B40F3"/>
    <w:rsid w:val="4C0D0653"/>
    <w:rsid w:val="4C191AC4"/>
    <w:rsid w:val="4C1E4E3D"/>
    <w:rsid w:val="4C3378DA"/>
    <w:rsid w:val="4C3472CB"/>
    <w:rsid w:val="4C393A37"/>
    <w:rsid w:val="4C7D77E7"/>
    <w:rsid w:val="4C7F6C74"/>
    <w:rsid w:val="4C9F4C40"/>
    <w:rsid w:val="4CCC61C3"/>
    <w:rsid w:val="4CCD262A"/>
    <w:rsid w:val="4CE05F39"/>
    <w:rsid w:val="4CF60381"/>
    <w:rsid w:val="4CFF3F40"/>
    <w:rsid w:val="4D2E41F5"/>
    <w:rsid w:val="4D360298"/>
    <w:rsid w:val="4D45253B"/>
    <w:rsid w:val="4D497DE0"/>
    <w:rsid w:val="4D4A47B2"/>
    <w:rsid w:val="4D507AB8"/>
    <w:rsid w:val="4D5D59AA"/>
    <w:rsid w:val="4D6F3A95"/>
    <w:rsid w:val="4D72615F"/>
    <w:rsid w:val="4DB51BEB"/>
    <w:rsid w:val="4DD27EB1"/>
    <w:rsid w:val="4DD65D3A"/>
    <w:rsid w:val="4DE01A04"/>
    <w:rsid w:val="4DFE15C8"/>
    <w:rsid w:val="4E0816AE"/>
    <w:rsid w:val="4E2B1FE4"/>
    <w:rsid w:val="4E301030"/>
    <w:rsid w:val="4E3F0B1D"/>
    <w:rsid w:val="4E477A47"/>
    <w:rsid w:val="4E497997"/>
    <w:rsid w:val="4E5F4418"/>
    <w:rsid w:val="4E605476"/>
    <w:rsid w:val="4E696986"/>
    <w:rsid w:val="4E6F21E8"/>
    <w:rsid w:val="4E741742"/>
    <w:rsid w:val="4E8665C2"/>
    <w:rsid w:val="4E88729A"/>
    <w:rsid w:val="4E8A3857"/>
    <w:rsid w:val="4E9446DE"/>
    <w:rsid w:val="4E9F2743"/>
    <w:rsid w:val="4EAF2C1F"/>
    <w:rsid w:val="4EB34B14"/>
    <w:rsid w:val="4EC369D4"/>
    <w:rsid w:val="4ED133F0"/>
    <w:rsid w:val="4EDC1958"/>
    <w:rsid w:val="4EE058B9"/>
    <w:rsid w:val="4EFB52F0"/>
    <w:rsid w:val="4EFF7273"/>
    <w:rsid w:val="4F0549EA"/>
    <w:rsid w:val="4F071931"/>
    <w:rsid w:val="4F151A59"/>
    <w:rsid w:val="4F371B43"/>
    <w:rsid w:val="4F4012AF"/>
    <w:rsid w:val="4F55125E"/>
    <w:rsid w:val="4F5956EE"/>
    <w:rsid w:val="4F6A49D1"/>
    <w:rsid w:val="4F6D4A3B"/>
    <w:rsid w:val="4F70406D"/>
    <w:rsid w:val="4F7179B0"/>
    <w:rsid w:val="4F7C6C43"/>
    <w:rsid w:val="4F7F320A"/>
    <w:rsid w:val="4F806256"/>
    <w:rsid w:val="4F9F55C2"/>
    <w:rsid w:val="4FBC6FFC"/>
    <w:rsid w:val="4FE91C7B"/>
    <w:rsid w:val="500311E5"/>
    <w:rsid w:val="501C38B3"/>
    <w:rsid w:val="502A3F47"/>
    <w:rsid w:val="502A5727"/>
    <w:rsid w:val="503728F0"/>
    <w:rsid w:val="50381AA7"/>
    <w:rsid w:val="50494846"/>
    <w:rsid w:val="505B1A16"/>
    <w:rsid w:val="506E7614"/>
    <w:rsid w:val="507536E0"/>
    <w:rsid w:val="5086095F"/>
    <w:rsid w:val="509A190B"/>
    <w:rsid w:val="50A66C08"/>
    <w:rsid w:val="50AB0993"/>
    <w:rsid w:val="50AE704B"/>
    <w:rsid w:val="50B06993"/>
    <w:rsid w:val="50C96733"/>
    <w:rsid w:val="50D54BB6"/>
    <w:rsid w:val="50D75B1B"/>
    <w:rsid w:val="50D81416"/>
    <w:rsid w:val="50DE2D2C"/>
    <w:rsid w:val="50E67BED"/>
    <w:rsid w:val="510836F5"/>
    <w:rsid w:val="510B36F6"/>
    <w:rsid w:val="510C74DC"/>
    <w:rsid w:val="51184B75"/>
    <w:rsid w:val="512D5191"/>
    <w:rsid w:val="5134535E"/>
    <w:rsid w:val="51360266"/>
    <w:rsid w:val="513D1424"/>
    <w:rsid w:val="514A7859"/>
    <w:rsid w:val="514D3830"/>
    <w:rsid w:val="51614FEB"/>
    <w:rsid w:val="51646E9F"/>
    <w:rsid w:val="516E0125"/>
    <w:rsid w:val="51704B3E"/>
    <w:rsid w:val="517D0153"/>
    <w:rsid w:val="51906F34"/>
    <w:rsid w:val="519C1704"/>
    <w:rsid w:val="51A4080A"/>
    <w:rsid w:val="51AE501B"/>
    <w:rsid w:val="51B13818"/>
    <w:rsid w:val="51BD4D8C"/>
    <w:rsid w:val="51C31BF8"/>
    <w:rsid w:val="51C70C17"/>
    <w:rsid w:val="51C847D0"/>
    <w:rsid w:val="51C963BC"/>
    <w:rsid w:val="51D96BA0"/>
    <w:rsid w:val="51F472D0"/>
    <w:rsid w:val="52022A40"/>
    <w:rsid w:val="521259F5"/>
    <w:rsid w:val="52171809"/>
    <w:rsid w:val="522D3599"/>
    <w:rsid w:val="52383DD9"/>
    <w:rsid w:val="523D64EB"/>
    <w:rsid w:val="524020A8"/>
    <w:rsid w:val="524251A0"/>
    <w:rsid w:val="52451A96"/>
    <w:rsid w:val="5250349D"/>
    <w:rsid w:val="526044FB"/>
    <w:rsid w:val="52686963"/>
    <w:rsid w:val="52757E71"/>
    <w:rsid w:val="527E53AD"/>
    <w:rsid w:val="52806A8E"/>
    <w:rsid w:val="5283520F"/>
    <w:rsid w:val="528F681E"/>
    <w:rsid w:val="52971464"/>
    <w:rsid w:val="52AC474A"/>
    <w:rsid w:val="52B039AC"/>
    <w:rsid w:val="52B75760"/>
    <w:rsid w:val="52B954F9"/>
    <w:rsid w:val="52C8249F"/>
    <w:rsid w:val="52DB688D"/>
    <w:rsid w:val="52DB77AA"/>
    <w:rsid w:val="52F33E7B"/>
    <w:rsid w:val="52FA7D42"/>
    <w:rsid w:val="53005F17"/>
    <w:rsid w:val="5302474D"/>
    <w:rsid w:val="53056CF8"/>
    <w:rsid w:val="53062866"/>
    <w:rsid w:val="530A23F0"/>
    <w:rsid w:val="530A6D85"/>
    <w:rsid w:val="5312618E"/>
    <w:rsid w:val="5315569D"/>
    <w:rsid w:val="532B030E"/>
    <w:rsid w:val="532F1B94"/>
    <w:rsid w:val="53394814"/>
    <w:rsid w:val="534157AD"/>
    <w:rsid w:val="53647CE9"/>
    <w:rsid w:val="53682067"/>
    <w:rsid w:val="536C6F7B"/>
    <w:rsid w:val="53840498"/>
    <w:rsid w:val="53A70D72"/>
    <w:rsid w:val="53C131AA"/>
    <w:rsid w:val="53C734A8"/>
    <w:rsid w:val="53CE0DEB"/>
    <w:rsid w:val="53E0527D"/>
    <w:rsid w:val="53E22E29"/>
    <w:rsid w:val="53F0416D"/>
    <w:rsid w:val="53F83814"/>
    <w:rsid w:val="53FE3D94"/>
    <w:rsid w:val="53FE786E"/>
    <w:rsid w:val="540239BC"/>
    <w:rsid w:val="54065D49"/>
    <w:rsid w:val="541171E9"/>
    <w:rsid w:val="541C3AEC"/>
    <w:rsid w:val="542B7CE9"/>
    <w:rsid w:val="54353446"/>
    <w:rsid w:val="54394644"/>
    <w:rsid w:val="548644B4"/>
    <w:rsid w:val="5487032C"/>
    <w:rsid w:val="54B41AD9"/>
    <w:rsid w:val="54B666DA"/>
    <w:rsid w:val="54C760D5"/>
    <w:rsid w:val="54C86F2F"/>
    <w:rsid w:val="54CC067B"/>
    <w:rsid w:val="54DB59F5"/>
    <w:rsid w:val="54E5329B"/>
    <w:rsid w:val="55150FD1"/>
    <w:rsid w:val="55180F02"/>
    <w:rsid w:val="5519324C"/>
    <w:rsid w:val="55312B40"/>
    <w:rsid w:val="555D4285"/>
    <w:rsid w:val="55664247"/>
    <w:rsid w:val="55672AB8"/>
    <w:rsid w:val="556E033B"/>
    <w:rsid w:val="557E6D24"/>
    <w:rsid w:val="559E0216"/>
    <w:rsid w:val="55A66871"/>
    <w:rsid w:val="55AC285A"/>
    <w:rsid w:val="55AE1448"/>
    <w:rsid w:val="55B515ED"/>
    <w:rsid w:val="55C979A9"/>
    <w:rsid w:val="55D122CE"/>
    <w:rsid w:val="55DF020B"/>
    <w:rsid w:val="55E40A31"/>
    <w:rsid w:val="56052B49"/>
    <w:rsid w:val="5626550A"/>
    <w:rsid w:val="562E6D2F"/>
    <w:rsid w:val="562F4A04"/>
    <w:rsid w:val="563369CD"/>
    <w:rsid w:val="56456687"/>
    <w:rsid w:val="564763B0"/>
    <w:rsid w:val="5653021A"/>
    <w:rsid w:val="5669293F"/>
    <w:rsid w:val="566A6662"/>
    <w:rsid w:val="5688259F"/>
    <w:rsid w:val="569F6219"/>
    <w:rsid w:val="56B83CCE"/>
    <w:rsid w:val="56CF6DAE"/>
    <w:rsid w:val="56D11DB0"/>
    <w:rsid w:val="56D228A3"/>
    <w:rsid w:val="56DF4E40"/>
    <w:rsid w:val="56E36305"/>
    <w:rsid w:val="56F77F4C"/>
    <w:rsid w:val="56F90C37"/>
    <w:rsid w:val="570E7666"/>
    <w:rsid w:val="57244FD5"/>
    <w:rsid w:val="57254B85"/>
    <w:rsid w:val="573F421D"/>
    <w:rsid w:val="57755D34"/>
    <w:rsid w:val="577C2238"/>
    <w:rsid w:val="577D057A"/>
    <w:rsid w:val="57817500"/>
    <w:rsid w:val="57825A7F"/>
    <w:rsid w:val="578378DD"/>
    <w:rsid w:val="57853E4A"/>
    <w:rsid w:val="57864A02"/>
    <w:rsid w:val="578C27A2"/>
    <w:rsid w:val="57986235"/>
    <w:rsid w:val="579A69A3"/>
    <w:rsid w:val="579E6A13"/>
    <w:rsid w:val="57A42985"/>
    <w:rsid w:val="57B133D2"/>
    <w:rsid w:val="57B13C2A"/>
    <w:rsid w:val="57B15504"/>
    <w:rsid w:val="57B3689B"/>
    <w:rsid w:val="57B70056"/>
    <w:rsid w:val="57CE7B42"/>
    <w:rsid w:val="57D25A38"/>
    <w:rsid w:val="57D6260D"/>
    <w:rsid w:val="57DF2DF5"/>
    <w:rsid w:val="57E473B8"/>
    <w:rsid w:val="57F746B9"/>
    <w:rsid w:val="57FC08BC"/>
    <w:rsid w:val="58090440"/>
    <w:rsid w:val="58191603"/>
    <w:rsid w:val="58313FF0"/>
    <w:rsid w:val="583D14D6"/>
    <w:rsid w:val="584D1A98"/>
    <w:rsid w:val="58645CA2"/>
    <w:rsid w:val="58660AA5"/>
    <w:rsid w:val="586D2742"/>
    <w:rsid w:val="58A21641"/>
    <w:rsid w:val="58A35980"/>
    <w:rsid w:val="58A8604F"/>
    <w:rsid w:val="58B456D1"/>
    <w:rsid w:val="58B621C4"/>
    <w:rsid w:val="58BC3C6B"/>
    <w:rsid w:val="58BD32D1"/>
    <w:rsid w:val="58C23BDA"/>
    <w:rsid w:val="58D237F6"/>
    <w:rsid w:val="58D30B61"/>
    <w:rsid w:val="58E11A24"/>
    <w:rsid w:val="58FC422E"/>
    <w:rsid w:val="59042E18"/>
    <w:rsid w:val="59243085"/>
    <w:rsid w:val="592726CA"/>
    <w:rsid w:val="5929636B"/>
    <w:rsid w:val="592C69F0"/>
    <w:rsid w:val="59371F86"/>
    <w:rsid w:val="594120F5"/>
    <w:rsid w:val="59452CB0"/>
    <w:rsid w:val="594D4DAC"/>
    <w:rsid w:val="59593163"/>
    <w:rsid w:val="595C4402"/>
    <w:rsid w:val="595F79FC"/>
    <w:rsid w:val="59684EDE"/>
    <w:rsid w:val="59697CFD"/>
    <w:rsid w:val="5970606C"/>
    <w:rsid w:val="5973654F"/>
    <w:rsid w:val="59837622"/>
    <w:rsid w:val="59844247"/>
    <w:rsid w:val="598E07C6"/>
    <w:rsid w:val="599507AC"/>
    <w:rsid w:val="59A537C2"/>
    <w:rsid w:val="59AD62DB"/>
    <w:rsid w:val="59AE6C07"/>
    <w:rsid w:val="59B62DEF"/>
    <w:rsid w:val="59B724C2"/>
    <w:rsid w:val="59BA2C7F"/>
    <w:rsid w:val="59C30E8B"/>
    <w:rsid w:val="59C369EE"/>
    <w:rsid w:val="59F41CA4"/>
    <w:rsid w:val="59FA093C"/>
    <w:rsid w:val="5A152CEF"/>
    <w:rsid w:val="5A180E98"/>
    <w:rsid w:val="5A1A4240"/>
    <w:rsid w:val="5A443A02"/>
    <w:rsid w:val="5A6E67DE"/>
    <w:rsid w:val="5A705663"/>
    <w:rsid w:val="5A740CAE"/>
    <w:rsid w:val="5A9258E0"/>
    <w:rsid w:val="5A9A0DDB"/>
    <w:rsid w:val="5AC73486"/>
    <w:rsid w:val="5AD24F26"/>
    <w:rsid w:val="5B025998"/>
    <w:rsid w:val="5B03790F"/>
    <w:rsid w:val="5B243569"/>
    <w:rsid w:val="5B261E1E"/>
    <w:rsid w:val="5B2F2097"/>
    <w:rsid w:val="5B42256B"/>
    <w:rsid w:val="5B5317D6"/>
    <w:rsid w:val="5B532FC0"/>
    <w:rsid w:val="5B58760D"/>
    <w:rsid w:val="5B662A72"/>
    <w:rsid w:val="5B7041BE"/>
    <w:rsid w:val="5B766882"/>
    <w:rsid w:val="5B8A3749"/>
    <w:rsid w:val="5B905CF2"/>
    <w:rsid w:val="5B9C43D5"/>
    <w:rsid w:val="5BA60F92"/>
    <w:rsid w:val="5BA770E8"/>
    <w:rsid w:val="5BB60B9B"/>
    <w:rsid w:val="5BC45528"/>
    <w:rsid w:val="5BD25F00"/>
    <w:rsid w:val="5BE76BE6"/>
    <w:rsid w:val="5BFD0271"/>
    <w:rsid w:val="5C023A3F"/>
    <w:rsid w:val="5C1C3DFA"/>
    <w:rsid w:val="5C225E42"/>
    <w:rsid w:val="5C3432B4"/>
    <w:rsid w:val="5C4A2676"/>
    <w:rsid w:val="5C612D9C"/>
    <w:rsid w:val="5C7434BF"/>
    <w:rsid w:val="5C784712"/>
    <w:rsid w:val="5C8276C2"/>
    <w:rsid w:val="5C85112A"/>
    <w:rsid w:val="5C933D18"/>
    <w:rsid w:val="5C9D788A"/>
    <w:rsid w:val="5CA4478C"/>
    <w:rsid w:val="5CA605FA"/>
    <w:rsid w:val="5CAF1CF8"/>
    <w:rsid w:val="5CBA1A53"/>
    <w:rsid w:val="5CCF7BD5"/>
    <w:rsid w:val="5CE014A0"/>
    <w:rsid w:val="5CF306C9"/>
    <w:rsid w:val="5D0B228C"/>
    <w:rsid w:val="5D0B5307"/>
    <w:rsid w:val="5D135E55"/>
    <w:rsid w:val="5D200F9C"/>
    <w:rsid w:val="5D226B38"/>
    <w:rsid w:val="5D631F74"/>
    <w:rsid w:val="5D6353E0"/>
    <w:rsid w:val="5D6F6A78"/>
    <w:rsid w:val="5D743F7E"/>
    <w:rsid w:val="5D7B61F4"/>
    <w:rsid w:val="5D8D0B31"/>
    <w:rsid w:val="5D8F06BB"/>
    <w:rsid w:val="5D972567"/>
    <w:rsid w:val="5D9D0E19"/>
    <w:rsid w:val="5DD558AB"/>
    <w:rsid w:val="5DE23AEE"/>
    <w:rsid w:val="5E0339A0"/>
    <w:rsid w:val="5E0756E8"/>
    <w:rsid w:val="5E081D39"/>
    <w:rsid w:val="5E137164"/>
    <w:rsid w:val="5E1E44DD"/>
    <w:rsid w:val="5E2B4CD2"/>
    <w:rsid w:val="5E364590"/>
    <w:rsid w:val="5E54212C"/>
    <w:rsid w:val="5E870A71"/>
    <w:rsid w:val="5E8717A6"/>
    <w:rsid w:val="5E946903"/>
    <w:rsid w:val="5EA919C3"/>
    <w:rsid w:val="5EA925A6"/>
    <w:rsid w:val="5EB51A33"/>
    <w:rsid w:val="5ED8494E"/>
    <w:rsid w:val="5ED909B6"/>
    <w:rsid w:val="5ED93065"/>
    <w:rsid w:val="5EE17731"/>
    <w:rsid w:val="5EF258CE"/>
    <w:rsid w:val="5EF54AA5"/>
    <w:rsid w:val="5EF93079"/>
    <w:rsid w:val="5EFF3895"/>
    <w:rsid w:val="5F02235C"/>
    <w:rsid w:val="5F2E18F9"/>
    <w:rsid w:val="5F6460A7"/>
    <w:rsid w:val="5F6C4CCE"/>
    <w:rsid w:val="5F70726F"/>
    <w:rsid w:val="5F845F7E"/>
    <w:rsid w:val="5F934C75"/>
    <w:rsid w:val="5F9F2144"/>
    <w:rsid w:val="5FA74AE2"/>
    <w:rsid w:val="5FA755E3"/>
    <w:rsid w:val="5FA83774"/>
    <w:rsid w:val="5FAD4A5B"/>
    <w:rsid w:val="5FAF1C32"/>
    <w:rsid w:val="5FCF1F2C"/>
    <w:rsid w:val="5FEF712D"/>
    <w:rsid w:val="60010DEA"/>
    <w:rsid w:val="600F4999"/>
    <w:rsid w:val="601F27B3"/>
    <w:rsid w:val="60236E8F"/>
    <w:rsid w:val="602A27C6"/>
    <w:rsid w:val="602C3386"/>
    <w:rsid w:val="60354EA0"/>
    <w:rsid w:val="6042276B"/>
    <w:rsid w:val="6045756D"/>
    <w:rsid w:val="60533954"/>
    <w:rsid w:val="60543261"/>
    <w:rsid w:val="60581E9A"/>
    <w:rsid w:val="605E5F9E"/>
    <w:rsid w:val="607053B8"/>
    <w:rsid w:val="60722C8C"/>
    <w:rsid w:val="60890D7E"/>
    <w:rsid w:val="6097226B"/>
    <w:rsid w:val="609A19ED"/>
    <w:rsid w:val="609B3E0F"/>
    <w:rsid w:val="609F32F5"/>
    <w:rsid w:val="609F601A"/>
    <w:rsid w:val="60AA4D56"/>
    <w:rsid w:val="60B32379"/>
    <w:rsid w:val="60C00DA5"/>
    <w:rsid w:val="60D074A6"/>
    <w:rsid w:val="60D73D15"/>
    <w:rsid w:val="60DC2982"/>
    <w:rsid w:val="60E6363C"/>
    <w:rsid w:val="60E73E3B"/>
    <w:rsid w:val="60F72B63"/>
    <w:rsid w:val="610010D2"/>
    <w:rsid w:val="6100367D"/>
    <w:rsid w:val="610C45D5"/>
    <w:rsid w:val="610E645F"/>
    <w:rsid w:val="61117123"/>
    <w:rsid w:val="611A0B9A"/>
    <w:rsid w:val="61367BA1"/>
    <w:rsid w:val="61427F6F"/>
    <w:rsid w:val="614566EB"/>
    <w:rsid w:val="61476233"/>
    <w:rsid w:val="61497628"/>
    <w:rsid w:val="614E7C69"/>
    <w:rsid w:val="616D0784"/>
    <w:rsid w:val="6191729E"/>
    <w:rsid w:val="61921E9E"/>
    <w:rsid w:val="619F5C26"/>
    <w:rsid w:val="61AE4F50"/>
    <w:rsid w:val="61B07FAD"/>
    <w:rsid w:val="61B6275F"/>
    <w:rsid w:val="61DF501D"/>
    <w:rsid w:val="61ED7F47"/>
    <w:rsid w:val="61F8288B"/>
    <w:rsid w:val="621351C7"/>
    <w:rsid w:val="62191787"/>
    <w:rsid w:val="62354A1D"/>
    <w:rsid w:val="623D42F9"/>
    <w:rsid w:val="625E73A5"/>
    <w:rsid w:val="626563AC"/>
    <w:rsid w:val="62684AA1"/>
    <w:rsid w:val="62720518"/>
    <w:rsid w:val="627E733A"/>
    <w:rsid w:val="629873CB"/>
    <w:rsid w:val="62CF1506"/>
    <w:rsid w:val="62F50F4B"/>
    <w:rsid w:val="62F63FF6"/>
    <w:rsid w:val="62F852CF"/>
    <w:rsid w:val="62FA4CDD"/>
    <w:rsid w:val="62FF3B09"/>
    <w:rsid w:val="63253FD9"/>
    <w:rsid w:val="63325F70"/>
    <w:rsid w:val="63362C04"/>
    <w:rsid w:val="633A3AA8"/>
    <w:rsid w:val="633E3E1D"/>
    <w:rsid w:val="6355192E"/>
    <w:rsid w:val="635905DB"/>
    <w:rsid w:val="63673123"/>
    <w:rsid w:val="637D5383"/>
    <w:rsid w:val="637F0CF5"/>
    <w:rsid w:val="63934EFE"/>
    <w:rsid w:val="639404BE"/>
    <w:rsid w:val="63957FD9"/>
    <w:rsid w:val="63A21668"/>
    <w:rsid w:val="63A52477"/>
    <w:rsid w:val="63BF4CA3"/>
    <w:rsid w:val="63C552F3"/>
    <w:rsid w:val="63D60A95"/>
    <w:rsid w:val="63DD3DCA"/>
    <w:rsid w:val="63DE429F"/>
    <w:rsid w:val="63E1784A"/>
    <w:rsid w:val="63F40606"/>
    <w:rsid w:val="63FE16AA"/>
    <w:rsid w:val="640522A7"/>
    <w:rsid w:val="64212E95"/>
    <w:rsid w:val="644000F6"/>
    <w:rsid w:val="64425BD2"/>
    <w:rsid w:val="645E4F67"/>
    <w:rsid w:val="646166FB"/>
    <w:rsid w:val="646D0D23"/>
    <w:rsid w:val="64760F42"/>
    <w:rsid w:val="64764E65"/>
    <w:rsid w:val="64825E6F"/>
    <w:rsid w:val="648730AF"/>
    <w:rsid w:val="648E2B10"/>
    <w:rsid w:val="649E6B2B"/>
    <w:rsid w:val="64A73FBF"/>
    <w:rsid w:val="64AA43DE"/>
    <w:rsid w:val="64AF1F51"/>
    <w:rsid w:val="64DD162F"/>
    <w:rsid w:val="64FB5221"/>
    <w:rsid w:val="650D4A42"/>
    <w:rsid w:val="65455406"/>
    <w:rsid w:val="65460508"/>
    <w:rsid w:val="654B7A75"/>
    <w:rsid w:val="656C1660"/>
    <w:rsid w:val="656E0CA7"/>
    <w:rsid w:val="65792099"/>
    <w:rsid w:val="65986BC2"/>
    <w:rsid w:val="659B0C89"/>
    <w:rsid w:val="65AF7549"/>
    <w:rsid w:val="65BB5500"/>
    <w:rsid w:val="65C642D1"/>
    <w:rsid w:val="65CA4D6D"/>
    <w:rsid w:val="65DC70A6"/>
    <w:rsid w:val="65E20CF7"/>
    <w:rsid w:val="65E359EC"/>
    <w:rsid w:val="65E96C8A"/>
    <w:rsid w:val="65EE1935"/>
    <w:rsid w:val="65F761C4"/>
    <w:rsid w:val="660133CB"/>
    <w:rsid w:val="6603746D"/>
    <w:rsid w:val="66087982"/>
    <w:rsid w:val="660D2877"/>
    <w:rsid w:val="66176B07"/>
    <w:rsid w:val="661E08CD"/>
    <w:rsid w:val="661F44D9"/>
    <w:rsid w:val="66412F59"/>
    <w:rsid w:val="66441992"/>
    <w:rsid w:val="664C313D"/>
    <w:rsid w:val="66513854"/>
    <w:rsid w:val="665475AE"/>
    <w:rsid w:val="66835FFD"/>
    <w:rsid w:val="66B06C74"/>
    <w:rsid w:val="66C606C7"/>
    <w:rsid w:val="66C821CF"/>
    <w:rsid w:val="66E9035A"/>
    <w:rsid w:val="66FC322B"/>
    <w:rsid w:val="66FF58E3"/>
    <w:rsid w:val="670276CA"/>
    <w:rsid w:val="670C65BC"/>
    <w:rsid w:val="671B74D7"/>
    <w:rsid w:val="671C7949"/>
    <w:rsid w:val="671E50EF"/>
    <w:rsid w:val="672544D7"/>
    <w:rsid w:val="67320379"/>
    <w:rsid w:val="67380415"/>
    <w:rsid w:val="675468CC"/>
    <w:rsid w:val="676218EF"/>
    <w:rsid w:val="67713DF1"/>
    <w:rsid w:val="678139FA"/>
    <w:rsid w:val="6786635E"/>
    <w:rsid w:val="67871821"/>
    <w:rsid w:val="679824A7"/>
    <w:rsid w:val="67A6134C"/>
    <w:rsid w:val="67B5037E"/>
    <w:rsid w:val="67B64463"/>
    <w:rsid w:val="67D2431B"/>
    <w:rsid w:val="67D71D99"/>
    <w:rsid w:val="67DD4241"/>
    <w:rsid w:val="67E64E99"/>
    <w:rsid w:val="67E75B70"/>
    <w:rsid w:val="67EB1F1E"/>
    <w:rsid w:val="6804086B"/>
    <w:rsid w:val="6810646F"/>
    <w:rsid w:val="681E0370"/>
    <w:rsid w:val="6829343F"/>
    <w:rsid w:val="68393EC1"/>
    <w:rsid w:val="68437A46"/>
    <w:rsid w:val="68464166"/>
    <w:rsid w:val="684B317A"/>
    <w:rsid w:val="684B61DB"/>
    <w:rsid w:val="68612CD1"/>
    <w:rsid w:val="68651D52"/>
    <w:rsid w:val="687832D0"/>
    <w:rsid w:val="688674A8"/>
    <w:rsid w:val="68891A3B"/>
    <w:rsid w:val="6889353E"/>
    <w:rsid w:val="68A556A4"/>
    <w:rsid w:val="68AE2F25"/>
    <w:rsid w:val="68B87F1B"/>
    <w:rsid w:val="68C24709"/>
    <w:rsid w:val="68DB6EA7"/>
    <w:rsid w:val="68ED42F7"/>
    <w:rsid w:val="68EE22E9"/>
    <w:rsid w:val="690616B7"/>
    <w:rsid w:val="690F336C"/>
    <w:rsid w:val="692320B5"/>
    <w:rsid w:val="69274E62"/>
    <w:rsid w:val="692859D5"/>
    <w:rsid w:val="692E4B5F"/>
    <w:rsid w:val="693F4761"/>
    <w:rsid w:val="694070FB"/>
    <w:rsid w:val="695903A6"/>
    <w:rsid w:val="69597C81"/>
    <w:rsid w:val="695D723F"/>
    <w:rsid w:val="697269D5"/>
    <w:rsid w:val="698272C6"/>
    <w:rsid w:val="69A71CAF"/>
    <w:rsid w:val="69B8225D"/>
    <w:rsid w:val="69C44DDB"/>
    <w:rsid w:val="69C91852"/>
    <w:rsid w:val="69D01345"/>
    <w:rsid w:val="69EA50D9"/>
    <w:rsid w:val="69ED63A4"/>
    <w:rsid w:val="69F165AB"/>
    <w:rsid w:val="69FA005C"/>
    <w:rsid w:val="69FD107A"/>
    <w:rsid w:val="69FF26CC"/>
    <w:rsid w:val="6A022612"/>
    <w:rsid w:val="6A03795B"/>
    <w:rsid w:val="6A0D729F"/>
    <w:rsid w:val="6A0F1B86"/>
    <w:rsid w:val="6A1C34AA"/>
    <w:rsid w:val="6A2C1135"/>
    <w:rsid w:val="6A2F22A5"/>
    <w:rsid w:val="6A323A85"/>
    <w:rsid w:val="6A432C06"/>
    <w:rsid w:val="6A4408EA"/>
    <w:rsid w:val="6A46070B"/>
    <w:rsid w:val="6A54594C"/>
    <w:rsid w:val="6A5A738F"/>
    <w:rsid w:val="6A681C59"/>
    <w:rsid w:val="6A7352CE"/>
    <w:rsid w:val="6A874997"/>
    <w:rsid w:val="6A8D3ABC"/>
    <w:rsid w:val="6A983254"/>
    <w:rsid w:val="6A9D40A3"/>
    <w:rsid w:val="6AB70A93"/>
    <w:rsid w:val="6AB83891"/>
    <w:rsid w:val="6ABD0A75"/>
    <w:rsid w:val="6AC543B1"/>
    <w:rsid w:val="6AC64045"/>
    <w:rsid w:val="6AD41CA5"/>
    <w:rsid w:val="6ADC360C"/>
    <w:rsid w:val="6ADE4AB6"/>
    <w:rsid w:val="6AF75823"/>
    <w:rsid w:val="6B1F4835"/>
    <w:rsid w:val="6B3C42FA"/>
    <w:rsid w:val="6B45316A"/>
    <w:rsid w:val="6B557F98"/>
    <w:rsid w:val="6B813BA6"/>
    <w:rsid w:val="6B83772D"/>
    <w:rsid w:val="6B8436C5"/>
    <w:rsid w:val="6B9D2B1F"/>
    <w:rsid w:val="6B9F0EE0"/>
    <w:rsid w:val="6BAA6F12"/>
    <w:rsid w:val="6BAA7343"/>
    <w:rsid w:val="6BAA7E0E"/>
    <w:rsid w:val="6BCE20A0"/>
    <w:rsid w:val="6BE276ED"/>
    <w:rsid w:val="6BE31FFE"/>
    <w:rsid w:val="6BFA261C"/>
    <w:rsid w:val="6BFC73E2"/>
    <w:rsid w:val="6C0163C0"/>
    <w:rsid w:val="6C157FA5"/>
    <w:rsid w:val="6C1B2C90"/>
    <w:rsid w:val="6C1B6F12"/>
    <w:rsid w:val="6C1B7586"/>
    <w:rsid w:val="6C1C29C9"/>
    <w:rsid w:val="6C1E054A"/>
    <w:rsid w:val="6C1E4261"/>
    <w:rsid w:val="6C2F57DC"/>
    <w:rsid w:val="6C4572BF"/>
    <w:rsid w:val="6C4D5E0B"/>
    <w:rsid w:val="6C5532A8"/>
    <w:rsid w:val="6C6304BC"/>
    <w:rsid w:val="6C8215B0"/>
    <w:rsid w:val="6C873919"/>
    <w:rsid w:val="6C952084"/>
    <w:rsid w:val="6CC70A54"/>
    <w:rsid w:val="6CDE1B9A"/>
    <w:rsid w:val="6CDF3426"/>
    <w:rsid w:val="6CE61530"/>
    <w:rsid w:val="6CE65D95"/>
    <w:rsid w:val="6CED3744"/>
    <w:rsid w:val="6CF14DA9"/>
    <w:rsid w:val="6CF25DCE"/>
    <w:rsid w:val="6CFD7AE9"/>
    <w:rsid w:val="6CFE70A1"/>
    <w:rsid w:val="6D023EBE"/>
    <w:rsid w:val="6D100705"/>
    <w:rsid w:val="6D2058FC"/>
    <w:rsid w:val="6D264633"/>
    <w:rsid w:val="6D274D75"/>
    <w:rsid w:val="6D36769F"/>
    <w:rsid w:val="6D4064BA"/>
    <w:rsid w:val="6D4F4A71"/>
    <w:rsid w:val="6D702266"/>
    <w:rsid w:val="6D9E2BD0"/>
    <w:rsid w:val="6DA67AF8"/>
    <w:rsid w:val="6DA74223"/>
    <w:rsid w:val="6DB12EA1"/>
    <w:rsid w:val="6DB4545B"/>
    <w:rsid w:val="6DC36177"/>
    <w:rsid w:val="6DCF3349"/>
    <w:rsid w:val="6DD35119"/>
    <w:rsid w:val="6DDC1B7F"/>
    <w:rsid w:val="6DE04144"/>
    <w:rsid w:val="6DEE6BE8"/>
    <w:rsid w:val="6E2015D0"/>
    <w:rsid w:val="6E5535CA"/>
    <w:rsid w:val="6E592B5F"/>
    <w:rsid w:val="6E754FA2"/>
    <w:rsid w:val="6E80601E"/>
    <w:rsid w:val="6E8D2273"/>
    <w:rsid w:val="6E8D3645"/>
    <w:rsid w:val="6E9460B8"/>
    <w:rsid w:val="6E9D0129"/>
    <w:rsid w:val="6EAB3C79"/>
    <w:rsid w:val="6EAC6EB0"/>
    <w:rsid w:val="6EBD1130"/>
    <w:rsid w:val="6EF01653"/>
    <w:rsid w:val="6EF50742"/>
    <w:rsid w:val="6EF80CF8"/>
    <w:rsid w:val="6EF94589"/>
    <w:rsid w:val="6F100F38"/>
    <w:rsid w:val="6F182E95"/>
    <w:rsid w:val="6F2F12DC"/>
    <w:rsid w:val="6F405155"/>
    <w:rsid w:val="6F46667A"/>
    <w:rsid w:val="6F5D134B"/>
    <w:rsid w:val="6F5E6E20"/>
    <w:rsid w:val="6F625FB7"/>
    <w:rsid w:val="6F686CF7"/>
    <w:rsid w:val="6F6C28C3"/>
    <w:rsid w:val="6F6E0F54"/>
    <w:rsid w:val="6F781E26"/>
    <w:rsid w:val="6F7C2289"/>
    <w:rsid w:val="6F851659"/>
    <w:rsid w:val="6F915D5A"/>
    <w:rsid w:val="6FA31FC0"/>
    <w:rsid w:val="6FB01A64"/>
    <w:rsid w:val="6FC358B1"/>
    <w:rsid w:val="6FDD63BE"/>
    <w:rsid w:val="6FE20BB6"/>
    <w:rsid w:val="6FE27DDC"/>
    <w:rsid w:val="6FE90665"/>
    <w:rsid w:val="6FEA52EB"/>
    <w:rsid w:val="6FF14381"/>
    <w:rsid w:val="6FF5687B"/>
    <w:rsid w:val="6FFB61BD"/>
    <w:rsid w:val="700E7725"/>
    <w:rsid w:val="7018648B"/>
    <w:rsid w:val="7019419B"/>
    <w:rsid w:val="701B6A16"/>
    <w:rsid w:val="70224340"/>
    <w:rsid w:val="7057766C"/>
    <w:rsid w:val="705E7202"/>
    <w:rsid w:val="709E348D"/>
    <w:rsid w:val="70B014F7"/>
    <w:rsid w:val="70BF1FE4"/>
    <w:rsid w:val="70C722AE"/>
    <w:rsid w:val="70E50D77"/>
    <w:rsid w:val="70E77D83"/>
    <w:rsid w:val="70EA5A4E"/>
    <w:rsid w:val="70EB13A4"/>
    <w:rsid w:val="70F04586"/>
    <w:rsid w:val="71074E13"/>
    <w:rsid w:val="710D1A88"/>
    <w:rsid w:val="71125CA5"/>
    <w:rsid w:val="712566FB"/>
    <w:rsid w:val="712E11CD"/>
    <w:rsid w:val="713567BA"/>
    <w:rsid w:val="7144398C"/>
    <w:rsid w:val="7155368D"/>
    <w:rsid w:val="715D0F75"/>
    <w:rsid w:val="715D6061"/>
    <w:rsid w:val="71676FA1"/>
    <w:rsid w:val="716F318D"/>
    <w:rsid w:val="717609A7"/>
    <w:rsid w:val="717D2139"/>
    <w:rsid w:val="718D290C"/>
    <w:rsid w:val="719B727B"/>
    <w:rsid w:val="71AD0AC9"/>
    <w:rsid w:val="71B06665"/>
    <w:rsid w:val="71CC5609"/>
    <w:rsid w:val="71F632AE"/>
    <w:rsid w:val="71F80981"/>
    <w:rsid w:val="71FA4D54"/>
    <w:rsid w:val="7206422F"/>
    <w:rsid w:val="7216659F"/>
    <w:rsid w:val="721954DB"/>
    <w:rsid w:val="721B6E57"/>
    <w:rsid w:val="721E572D"/>
    <w:rsid w:val="72207144"/>
    <w:rsid w:val="72266C52"/>
    <w:rsid w:val="723F4E49"/>
    <w:rsid w:val="725F519F"/>
    <w:rsid w:val="727B3AAC"/>
    <w:rsid w:val="7291293F"/>
    <w:rsid w:val="72961D07"/>
    <w:rsid w:val="729E12F7"/>
    <w:rsid w:val="72B86DE0"/>
    <w:rsid w:val="72CC278D"/>
    <w:rsid w:val="72E820DC"/>
    <w:rsid w:val="72FF2F6D"/>
    <w:rsid w:val="72FF6E28"/>
    <w:rsid w:val="73047455"/>
    <w:rsid w:val="730B6E6F"/>
    <w:rsid w:val="73130A43"/>
    <w:rsid w:val="73212CD5"/>
    <w:rsid w:val="732B10F0"/>
    <w:rsid w:val="732F34F3"/>
    <w:rsid w:val="73552A60"/>
    <w:rsid w:val="736D3FC5"/>
    <w:rsid w:val="738B55CC"/>
    <w:rsid w:val="73921145"/>
    <w:rsid w:val="73977228"/>
    <w:rsid w:val="73A30ACB"/>
    <w:rsid w:val="73A63D95"/>
    <w:rsid w:val="73B454CC"/>
    <w:rsid w:val="73CC7552"/>
    <w:rsid w:val="73E271E0"/>
    <w:rsid w:val="73EA6471"/>
    <w:rsid w:val="73F16ECC"/>
    <w:rsid w:val="741B7561"/>
    <w:rsid w:val="74282F19"/>
    <w:rsid w:val="743B5E1D"/>
    <w:rsid w:val="743F7585"/>
    <w:rsid w:val="74712E85"/>
    <w:rsid w:val="747E69E0"/>
    <w:rsid w:val="749D459E"/>
    <w:rsid w:val="74A74CA2"/>
    <w:rsid w:val="74A81755"/>
    <w:rsid w:val="74AC0783"/>
    <w:rsid w:val="74D034E7"/>
    <w:rsid w:val="75043682"/>
    <w:rsid w:val="75077083"/>
    <w:rsid w:val="75083CDA"/>
    <w:rsid w:val="750A78BC"/>
    <w:rsid w:val="751D1B99"/>
    <w:rsid w:val="75247F33"/>
    <w:rsid w:val="75261F20"/>
    <w:rsid w:val="752F341B"/>
    <w:rsid w:val="755111FB"/>
    <w:rsid w:val="75526D6E"/>
    <w:rsid w:val="75540514"/>
    <w:rsid w:val="755A2957"/>
    <w:rsid w:val="75672242"/>
    <w:rsid w:val="75712FE5"/>
    <w:rsid w:val="7574723A"/>
    <w:rsid w:val="75752518"/>
    <w:rsid w:val="7575291E"/>
    <w:rsid w:val="75894928"/>
    <w:rsid w:val="75961A90"/>
    <w:rsid w:val="75B23803"/>
    <w:rsid w:val="75B407CA"/>
    <w:rsid w:val="75C815B6"/>
    <w:rsid w:val="75CA334A"/>
    <w:rsid w:val="75D500AF"/>
    <w:rsid w:val="75E44459"/>
    <w:rsid w:val="75F75B9E"/>
    <w:rsid w:val="760E4859"/>
    <w:rsid w:val="762B4300"/>
    <w:rsid w:val="762F4D5F"/>
    <w:rsid w:val="763C26DD"/>
    <w:rsid w:val="764340C7"/>
    <w:rsid w:val="764507BB"/>
    <w:rsid w:val="767767FA"/>
    <w:rsid w:val="769C1EBC"/>
    <w:rsid w:val="76BB4CD6"/>
    <w:rsid w:val="76C00F92"/>
    <w:rsid w:val="76CB46E0"/>
    <w:rsid w:val="76F7734A"/>
    <w:rsid w:val="76FB73CF"/>
    <w:rsid w:val="76FC33C2"/>
    <w:rsid w:val="770127A7"/>
    <w:rsid w:val="770479EA"/>
    <w:rsid w:val="770B58D8"/>
    <w:rsid w:val="770C3AA4"/>
    <w:rsid w:val="7727505D"/>
    <w:rsid w:val="7728565F"/>
    <w:rsid w:val="772C7823"/>
    <w:rsid w:val="772E366C"/>
    <w:rsid w:val="774076D0"/>
    <w:rsid w:val="774235A7"/>
    <w:rsid w:val="774B53B6"/>
    <w:rsid w:val="774C729D"/>
    <w:rsid w:val="77617EF0"/>
    <w:rsid w:val="776C429D"/>
    <w:rsid w:val="77877857"/>
    <w:rsid w:val="778A4A4D"/>
    <w:rsid w:val="77B50C1D"/>
    <w:rsid w:val="77B751F2"/>
    <w:rsid w:val="77C15D51"/>
    <w:rsid w:val="77C66E85"/>
    <w:rsid w:val="77D45872"/>
    <w:rsid w:val="7823514B"/>
    <w:rsid w:val="78267E62"/>
    <w:rsid w:val="78273F54"/>
    <w:rsid w:val="782C04AB"/>
    <w:rsid w:val="78321A91"/>
    <w:rsid w:val="78337099"/>
    <w:rsid w:val="78341A88"/>
    <w:rsid w:val="7838424C"/>
    <w:rsid w:val="784C62E7"/>
    <w:rsid w:val="784E121F"/>
    <w:rsid w:val="78515F70"/>
    <w:rsid w:val="785548E1"/>
    <w:rsid w:val="78570465"/>
    <w:rsid w:val="78666A9F"/>
    <w:rsid w:val="78741B90"/>
    <w:rsid w:val="787E314E"/>
    <w:rsid w:val="788146F5"/>
    <w:rsid w:val="78910B9A"/>
    <w:rsid w:val="7894252D"/>
    <w:rsid w:val="78A645DF"/>
    <w:rsid w:val="78C24F37"/>
    <w:rsid w:val="78D01487"/>
    <w:rsid w:val="790B1593"/>
    <w:rsid w:val="79116B2E"/>
    <w:rsid w:val="79261280"/>
    <w:rsid w:val="793C1DCF"/>
    <w:rsid w:val="793F0A79"/>
    <w:rsid w:val="79495BA3"/>
    <w:rsid w:val="795256F4"/>
    <w:rsid w:val="796471D7"/>
    <w:rsid w:val="797353B5"/>
    <w:rsid w:val="79754CED"/>
    <w:rsid w:val="7988425F"/>
    <w:rsid w:val="798E057C"/>
    <w:rsid w:val="79992A8A"/>
    <w:rsid w:val="79A23260"/>
    <w:rsid w:val="79AF0E16"/>
    <w:rsid w:val="79B5182B"/>
    <w:rsid w:val="79BE3DA2"/>
    <w:rsid w:val="79C61EB7"/>
    <w:rsid w:val="79CB2ED7"/>
    <w:rsid w:val="79CB425B"/>
    <w:rsid w:val="79E2120E"/>
    <w:rsid w:val="79F9341A"/>
    <w:rsid w:val="7A00081A"/>
    <w:rsid w:val="7A134F64"/>
    <w:rsid w:val="7A1B46E3"/>
    <w:rsid w:val="7A1C3831"/>
    <w:rsid w:val="7A217B6A"/>
    <w:rsid w:val="7A2A6C43"/>
    <w:rsid w:val="7A2E37B4"/>
    <w:rsid w:val="7A2F252A"/>
    <w:rsid w:val="7A337B4D"/>
    <w:rsid w:val="7A4B11E7"/>
    <w:rsid w:val="7A5B1CF5"/>
    <w:rsid w:val="7A663798"/>
    <w:rsid w:val="7A6C710D"/>
    <w:rsid w:val="7A71490B"/>
    <w:rsid w:val="7A727A6F"/>
    <w:rsid w:val="7A795419"/>
    <w:rsid w:val="7A7C70B7"/>
    <w:rsid w:val="7A8938C4"/>
    <w:rsid w:val="7AAD2446"/>
    <w:rsid w:val="7AAF50CB"/>
    <w:rsid w:val="7AB70AE8"/>
    <w:rsid w:val="7AC72717"/>
    <w:rsid w:val="7ACC23BA"/>
    <w:rsid w:val="7AD85C97"/>
    <w:rsid w:val="7AE5464A"/>
    <w:rsid w:val="7AEC58B5"/>
    <w:rsid w:val="7AED4D95"/>
    <w:rsid w:val="7AEE4FE1"/>
    <w:rsid w:val="7AFA6932"/>
    <w:rsid w:val="7B0E2D70"/>
    <w:rsid w:val="7B1344EE"/>
    <w:rsid w:val="7B1A5F6B"/>
    <w:rsid w:val="7B467676"/>
    <w:rsid w:val="7B517D52"/>
    <w:rsid w:val="7B58023E"/>
    <w:rsid w:val="7B6E42E1"/>
    <w:rsid w:val="7BA45931"/>
    <w:rsid w:val="7BAE470B"/>
    <w:rsid w:val="7BAF6E8E"/>
    <w:rsid w:val="7BB06284"/>
    <w:rsid w:val="7BB11408"/>
    <w:rsid w:val="7BB1447E"/>
    <w:rsid w:val="7BBE52D7"/>
    <w:rsid w:val="7BC4548F"/>
    <w:rsid w:val="7BDD620B"/>
    <w:rsid w:val="7BE174E8"/>
    <w:rsid w:val="7BF70EEA"/>
    <w:rsid w:val="7C006B37"/>
    <w:rsid w:val="7C186E31"/>
    <w:rsid w:val="7C1C0201"/>
    <w:rsid w:val="7C1C5931"/>
    <w:rsid w:val="7C247A7F"/>
    <w:rsid w:val="7C3403E5"/>
    <w:rsid w:val="7C4E2DD0"/>
    <w:rsid w:val="7C523FC8"/>
    <w:rsid w:val="7C594088"/>
    <w:rsid w:val="7C6D4C9F"/>
    <w:rsid w:val="7C72532A"/>
    <w:rsid w:val="7C9F7722"/>
    <w:rsid w:val="7CB0360D"/>
    <w:rsid w:val="7CC10CD9"/>
    <w:rsid w:val="7CCE34A6"/>
    <w:rsid w:val="7CD4567E"/>
    <w:rsid w:val="7CE34654"/>
    <w:rsid w:val="7CED6899"/>
    <w:rsid w:val="7CF06F28"/>
    <w:rsid w:val="7CF76824"/>
    <w:rsid w:val="7CFA1751"/>
    <w:rsid w:val="7D0E1BC6"/>
    <w:rsid w:val="7D1B3D4E"/>
    <w:rsid w:val="7D2570B8"/>
    <w:rsid w:val="7D302AB8"/>
    <w:rsid w:val="7D34096C"/>
    <w:rsid w:val="7D4137F5"/>
    <w:rsid w:val="7D712D70"/>
    <w:rsid w:val="7D7350EF"/>
    <w:rsid w:val="7D806F00"/>
    <w:rsid w:val="7DAC6E18"/>
    <w:rsid w:val="7DAF0F83"/>
    <w:rsid w:val="7DBA6AD0"/>
    <w:rsid w:val="7DC53578"/>
    <w:rsid w:val="7DE907A9"/>
    <w:rsid w:val="7DF425C6"/>
    <w:rsid w:val="7DF617FB"/>
    <w:rsid w:val="7E1A6F1D"/>
    <w:rsid w:val="7E3F51D3"/>
    <w:rsid w:val="7E4F13A8"/>
    <w:rsid w:val="7E56567B"/>
    <w:rsid w:val="7E582842"/>
    <w:rsid w:val="7E6B1E2C"/>
    <w:rsid w:val="7E7C243E"/>
    <w:rsid w:val="7E8573FE"/>
    <w:rsid w:val="7E8C70FB"/>
    <w:rsid w:val="7E90181B"/>
    <w:rsid w:val="7E90357D"/>
    <w:rsid w:val="7E980008"/>
    <w:rsid w:val="7E9857DE"/>
    <w:rsid w:val="7EAA05B8"/>
    <w:rsid w:val="7EB156AF"/>
    <w:rsid w:val="7EB82D54"/>
    <w:rsid w:val="7EB84579"/>
    <w:rsid w:val="7ED33815"/>
    <w:rsid w:val="7EDC0234"/>
    <w:rsid w:val="7EE36267"/>
    <w:rsid w:val="7EE60482"/>
    <w:rsid w:val="7EF02E03"/>
    <w:rsid w:val="7EFB5492"/>
    <w:rsid w:val="7F016828"/>
    <w:rsid w:val="7F0B3D69"/>
    <w:rsid w:val="7F245284"/>
    <w:rsid w:val="7F292C71"/>
    <w:rsid w:val="7F345055"/>
    <w:rsid w:val="7F352473"/>
    <w:rsid w:val="7F377EB2"/>
    <w:rsid w:val="7F3C1477"/>
    <w:rsid w:val="7F4843CF"/>
    <w:rsid w:val="7F501298"/>
    <w:rsid w:val="7F5311D9"/>
    <w:rsid w:val="7F64605F"/>
    <w:rsid w:val="7F6C759C"/>
    <w:rsid w:val="7F733396"/>
    <w:rsid w:val="7F7C12CA"/>
    <w:rsid w:val="7F7D634C"/>
    <w:rsid w:val="7F88089B"/>
    <w:rsid w:val="7F975EAC"/>
    <w:rsid w:val="7FBB4347"/>
    <w:rsid w:val="7FBB7D2B"/>
    <w:rsid w:val="7FD17606"/>
    <w:rsid w:val="7FDA4CF7"/>
    <w:rsid w:val="7FE908F5"/>
    <w:rsid w:val="7FF136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paragraph" w:styleId="3">
    <w:name w:val="heading 2"/>
    <w:basedOn w:val="1"/>
    <w:next w:val="1"/>
    <w:qFormat/>
    <w:uiPriority w:val="1"/>
    <w:pPr>
      <w:ind w:left="579"/>
      <w:outlineLvl w:val="1"/>
    </w:pPr>
    <w:rPr>
      <w:rFonts w:ascii="微软雅黑" w:hAnsi="微软雅黑" w:eastAsia="微软雅黑" w:cs="微软雅黑"/>
      <w:b/>
      <w:bCs/>
      <w:sz w:val="24"/>
      <w:szCs w:val="24"/>
    </w:rPr>
  </w:style>
  <w:style w:type="paragraph" w:styleId="4">
    <w:name w:val="heading 3"/>
    <w:basedOn w:val="1"/>
    <w:next w:val="1"/>
    <w:qFormat/>
    <w:uiPriority w:val="1"/>
    <w:pPr>
      <w:ind w:left="579"/>
      <w:outlineLvl w:val="2"/>
    </w:pPr>
    <w:rPr>
      <w:sz w:val="24"/>
      <w:szCs w:val="24"/>
    </w:rPr>
  </w:style>
  <w:style w:type="paragraph" w:styleId="5">
    <w:name w:val="heading 4"/>
    <w:basedOn w:val="1"/>
    <w:next w:val="1"/>
    <w:qFormat/>
    <w:uiPriority w:val="1"/>
    <w:pPr>
      <w:ind w:left="579"/>
      <w:outlineLvl w:val="3"/>
    </w:pPr>
    <w:rPr>
      <w:rFonts w:ascii="微软雅黑" w:hAnsi="微软雅黑" w:eastAsia="微软雅黑" w:cs="微软雅黑"/>
      <w:b/>
      <w:bCs/>
      <w:sz w:val="21"/>
      <w:szCs w:val="21"/>
    </w:rPr>
  </w:style>
  <w:style w:type="paragraph" w:styleId="6">
    <w:name w:val="heading 5"/>
    <w:basedOn w:val="1"/>
    <w:next w:val="1"/>
    <w:semiHidden/>
    <w:unhideWhenUsed/>
    <w:qFormat/>
    <w:uiPriority w:val="0"/>
    <w:pPr>
      <w:keepNext/>
      <w:keepLines/>
      <w:spacing w:line="372" w:lineRule="auto"/>
      <w:outlineLvl w:val="4"/>
    </w:pPr>
    <w:rPr>
      <w:b/>
      <w:sz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rPr>
      <w:rFonts w:ascii="Calibri" w:hAnsi="Calibri"/>
      <w:sz w:val="21"/>
    </w:rPr>
  </w:style>
  <w:style w:type="paragraph" w:styleId="8">
    <w:name w:val="Document Map"/>
    <w:basedOn w:val="1"/>
    <w:link w:val="53"/>
    <w:qFormat/>
    <w:uiPriority w:val="0"/>
    <w:rPr>
      <w:sz w:val="18"/>
      <w:szCs w:val="18"/>
    </w:rPr>
  </w:style>
  <w:style w:type="paragraph" w:styleId="9">
    <w:name w:val="annotation text"/>
    <w:basedOn w:val="1"/>
    <w:link w:val="47"/>
    <w:qFormat/>
    <w:uiPriority w:val="0"/>
  </w:style>
  <w:style w:type="paragraph" w:styleId="10">
    <w:name w:val="Body Text"/>
    <w:basedOn w:val="1"/>
    <w:link w:val="75"/>
    <w:qFormat/>
    <w:uiPriority w:val="1"/>
    <w:rPr>
      <w:sz w:val="21"/>
      <w:szCs w:val="21"/>
    </w:rPr>
  </w:style>
  <w:style w:type="paragraph" w:styleId="11">
    <w:name w:val="Body Text Indent"/>
    <w:basedOn w:val="1"/>
    <w:qFormat/>
    <w:uiPriority w:val="0"/>
    <w:pPr>
      <w:spacing w:line="360" w:lineRule="auto"/>
      <w:ind w:firstLine="420" w:firstLineChars="200"/>
    </w:pPr>
    <w:rPr>
      <w:sz w:val="20"/>
      <w:szCs w:val="24"/>
    </w:rPr>
  </w:style>
  <w:style w:type="paragraph" w:styleId="12">
    <w:name w:val="toc 3"/>
    <w:basedOn w:val="1"/>
    <w:next w:val="1"/>
    <w:qFormat/>
    <w:uiPriority w:val="0"/>
    <w:pPr>
      <w:ind w:left="840" w:leftChars="400"/>
    </w:pPr>
  </w:style>
  <w:style w:type="paragraph" w:styleId="13">
    <w:name w:val="Body Text Indent 2"/>
    <w:basedOn w:val="1"/>
    <w:qFormat/>
    <w:uiPriority w:val="0"/>
    <w:pPr>
      <w:spacing w:after="120" w:line="480" w:lineRule="auto"/>
      <w:ind w:left="420" w:leftChars="200"/>
    </w:pPr>
  </w:style>
  <w:style w:type="paragraph" w:styleId="14">
    <w:name w:val="Balloon Text"/>
    <w:basedOn w:val="1"/>
    <w:link w:val="49"/>
    <w:qFormat/>
    <w:uiPriority w:val="0"/>
    <w:rPr>
      <w:sz w:val="18"/>
      <w:szCs w:val="18"/>
    </w:rPr>
  </w:style>
  <w:style w:type="paragraph" w:styleId="15">
    <w:name w:val="footer"/>
    <w:basedOn w:val="1"/>
    <w:qFormat/>
    <w:uiPriority w:val="0"/>
    <w:pPr>
      <w:tabs>
        <w:tab w:val="center" w:pos="4153"/>
        <w:tab w:val="right" w:pos="8306"/>
      </w:tabs>
      <w:snapToGrid w:val="0"/>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7">
    <w:name w:val="toc 1"/>
    <w:basedOn w:val="1"/>
    <w:next w:val="1"/>
    <w:qFormat/>
    <w:uiPriority w:val="1"/>
    <w:pPr>
      <w:spacing w:line="420" w:lineRule="exact"/>
      <w:ind w:left="579"/>
    </w:pPr>
    <w:rPr>
      <w:rFonts w:ascii="微软雅黑" w:hAnsi="微软雅黑" w:eastAsia="微软雅黑" w:cs="微软雅黑"/>
      <w:b/>
      <w:bCs/>
      <w:sz w:val="24"/>
      <w:szCs w:val="24"/>
    </w:rPr>
  </w:style>
  <w:style w:type="paragraph" w:styleId="18">
    <w:name w:val="toc 4"/>
    <w:basedOn w:val="1"/>
    <w:next w:val="1"/>
    <w:qFormat/>
    <w:uiPriority w:val="0"/>
    <w:pPr>
      <w:ind w:left="1260" w:leftChars="600"/>
    </w:pPr>
  </w:style>
  <w:style w:type="paragraph" w:styleId="19">
    <w:name w:val="Body Text Indent 3"/>
    <w:basedOn w:val="1"/>
    <w:qFormat/>
    <w:uiPriority w:val="0"/>
    <w:pPr>
      <w:spacing w:line="600" w:lineRule="exact"/>
      <w:ind w:firstLine="720" w:firstLineChars="225"/>
    </w:pPr>
    <w:rPr>
      <w:sz w:val="32"/>
      <w:szCs w:val="20"/>
    </w:rPr>
  </w:style>
  <w:style w:type="paragraph" w:styleId="20">
    <w:name w:val="toc 2"/>
    <w:basedOn w:val="1"/>
    <w:next w:val="1"/>
    <w:qFormat/>
    <w:uiPriority w:val="1"/>
    <w:pPr>
      <w:spacing w:before="93"/>
      <w:ind w:left="579"/>
    </w:pPr>
    <w:rPr>
      <w:sz w:val="24"/>
      <w:szCs w:val="24"/>
    </w:rPr>
  </w:style>
  <w:style w:type="paragraph" w:styleId="21">
    <w:name w:val="Normal (Web)"/>
    <w:basedOn w:val="1"/>
    <w:qFormat/>
    <w:uiPriority w:val="0"/>
    <w:pPr>
      <w:spacing w:before="60" w:after="60"/>
    </w:pPr>
    <w:rPr>
      <w:rFonts w:cs="Times New Roman"/>
      <w:sz w:val="24"/>
      <w:lang w:val="en-US" w:bidi="ar-SA"/>
    </w:rPr>
  </w:style>
  <w:style w:type="paragraph" w:styleId="22">
    <w:name w:val="Title"/>
    <w:basedOn w:val="1"/>
    <w:qFormat/>
    <w:uiPriority w:val="0"/>
    <w:pPr>
      <w:adjustRightInd w:val="0"/>
      <w:spacing w:before="240" w:after="60" w:line="420" w:lineRule="atLeast"/>
      <w:jc w:val="center"/>
      <w:textAlignment w:val="baseline"/>
      <w:outlineLvl w:val="0"/>
    </w:pPr>
    <w:rPr>
      <w:rFonts w:ascii="Arial" w:hAnsi="Arial"/>
      <w:b/>
      <w:sz w:val="32"/>
      <w:szCs w:val="20"/>
    </w:rPr>
  </w:style>
  <w:style w:type="paragraph" w:styleId="23">
    <w:name w:val="annotation subject"/>
    <w:basedOn w:val="9"/>
    <w:next w:val="9"/>
    <w:link w:val="48"/>
    <w:qFormat/>
    <w:uiPriority w:val="0"/>
    <w:rPr>
      <w:b/>
      <w:bCs/>
    </w:rPr>
  </w:style>
  <w:style w:type="paragraph" w:styleId="24">
    <w:name w:val="Body Text First Indent"/>
    <w:basedOn w:val="10"/>
    <w:link w:val="76"/>
    <w:qFormat/>
    <w:uiPriority w:val="0"/>
    <w:pPr>
      <w:spacing w:after="120"/>
      <w:ind w:firstLine="420" w:firstLineChars="100"/>
    </w:pPr>
    <w:rPr>
      <w:sz w:val="22"/>
      <w:szCs w:val="22"/>
    </w:rPr>
  </w:style>
  <w:style w:type="paragraph" w:styleId="25">
    <w:name w:val="Body Text First Indent 2"/>
    <w:basedOn w:val="11"/>
    <w:qFormat/>
    <w:uiPriority w:val="0"/>
    <w:pPr>
      <w:spacing w:after="120" w:line="240" w:lineRule="auto"/>
      <w:ind w:left="420" w:leftChars="200"/>
    </w:pPr>
    <w:rPr>
      <w:rFonts w:ascii="Calibri" w:hAnsi="Calibri"/>
      <w:kern w:val="2"/>
      <w:sz w:val="21"/>
    </w:rPr>
  </w:style>
  <w:style w:type="table" w:styleId="27">
    <w:name w:val="Table Grid"/>
    <w:basedOn w:val="2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9">
    <w:name w:val="Strong"/>
    <w:basedOn w:val="28"/>
    <w:qFormat/>
    <w:uiPriority w:val="0"/>
    <w:rPr>
      <w:b/>
    </w:rPr>
  </w:style>
  <w:style w:type="character" w:styleId="30">
    <w:name w:val="FollowedHyperlink"/>
    <w:basedOn w:val="28"/>
    <w:qFormat/>
    <w:uiPriority w:val="0"/>
    <w:rPr>
      <w:color w:val="338DE6"/>
      <w:u w:val="none"/>
    </w:rPr>
  </w:style>
  <w:style w:type="character" w:styleId="31">
    <w:name w:val="Emphasis"/>
    <w:basedOn w:val="28"/>
    <w:qFormat/>
    <w:uiPriority w:val="0"/>
  </w:style>
  <w:style w:type="character" w:styleId="32">
    <w:name w:val="HTML Definition"/>
    <w:basedOn w:val="28"/>
    <w:qFormat/>
    <w:uiPriority w:val="0"/>
  </w:style>
  <w:style w:type="character" w:styleId="33">
    <w:name w:val="HTML Variable"/>
    <w:basedOn w:val="28"/>
    <w:qFormat/>
    <w:uiPriority w:val="0"/>
  </w:style>
  <w:style w:type="character" w:styleId="34">
    <w:name w:val="Hyperlink"/>
    <w:basedOn w:val="28"/>
    <w:qFormat/>
    <w:uiPriority w:val="0"/>
    <w:rPr>
      <w:color w:val="0000FF"/>
      <w:u w:val="single"/>
    </w:rPr>
  </w:style>
  <w:style w:type="character" w:styleId="35">
    <w:name w:val="HTML Code"/>
    <w:basedOn w:val="28"/>
    <w:qFormat/>
    <w:uiPriority w:val="0"/>
    <w:rPr>
      <w:rFonts w:ascii="serif" w:hAnsi="serif" w:eastAsia="serif" w:cs="serif"/>
      <w:sz w:val="21"/>
      <w:szCs w:val="21"/>
    </w:rPr>
  </w:style>
  <w:style w:type="character" w:styleId="36">
    <w:name w:val="annotation reference"/>
    <w:basedOn w:val="28"/>
    <w:qFormat/>
    <w:uiPriority w:val="0"/>
    <w:rPr>
      <w:sz w:val="21"/>
      <w:szCs w:val="21"/>
    </w:rPr>
  </w:style>
  <w:style w:type="character" w:styleId="37">
    <w:name w:val="HTML Cite"/>
    <w:basedOn w:val="28"/>
    <w:qFormat/>
    <w:uiPriority w:val="0"/>
  </w:style>
  <w:style w:type="character" w:styleId="38">
    <w:name w:val="HTML Keyboard"/>
    <w:basedOn w:val="28"/>
    <w:qFormat/>
    <w:uiPriority w:val="0"/>
    <w:rPr>
      <w:rFonts w:hint="default" w:ascii="serif" w:hAnsi="serif" w:eastAsia="serif" w:cs="serif"/>
      <w:sz w:val="21"/>
      <w:szCs w:val="21"/>
    </w:rPr>
  </w:style>
  <w:style w:type="character" w:styleId="39">
    <w:name w:val="HTML Sample"/>
    <w:basedOn w:val="28"/>
    <w:qFormat/>
    <w:uiPriority w:val="0"/>
    <w:rPr>
      <w:rFonts w:hint="default" w:ascii="serif" w:hAnsi="serif" w:eastAsia="serif" w:cs="serif"/>
      <w:sz w:val="21"/>
      <w:szCs w:val="21"/>
    </w:rPr>
  </w:style>
  <w:style w:type="paragraph" w:customStyle="1" w:styleId="40">
    <w:name w:val="段"/>
    <w:next w:val="1"/>
    <w:qFormat/>
    <w:uiPriority w:val="0"/>
    <w:pPr>
      <w:ind w:firstLine="200" w:firstLineChars="200"/>
      <w:jc w:val="both"/>
    </w:pPr>
    <w:rPr>
      <w:rFonts w:ascii="Calibri" w:hAnsi="Calibri" w:eastAsia="宋体" w:cs="Times New Roman"/>
      <w:kern w:val="2"/>
      <w:sz w:val="21"/>
      <w:szCs w:val="22"/>
      <w:lang w:val="en-US" w:eastAsia="zh-CN" w:bidi="ar-SA"/>
    </w:rPr>
  </w:style>
  <w:style w:type="table" w:customStyle="1" w:styleId="41">
    <w:name w:val="Table Normal"/>
    <w:semiHidden/>
    <w:unhideWhenUsed/>
    <w:qFormat/>
    <w:uiPriority w:val="2"/>
    <w:tblPr>
      <w:tblCellMar>
        <w:top w:w="0" w:type="dxa"/>
        <w:left w:w="0" w:type="dxa"/>
        <w:bottom w:w="0" w:type="dxa"/>
        <w:right w:w="0" w:type="dxa"/>
      </w:tblCellMar>
    </w:tblPr>
  </w:style>
  <w:style w:type="paragraph" w:styleId="42">
    <w:name w:val="List Paragraph"/>
    <w:basedOn w:val="1"/>
    <w:qFormat/>
    <w:uiPriority w:val="1"/>
    <w:pPr>
      <w:ind w:left="579" w:firstLine="420"/>
    </w:pPr>
  </w:style>
  <w:style w:type="paragraph" w:customStyle="1" w:styleId="43">
    <w:name w:val="Table Paragraph"/>
    <w:basedOn w:val="1"/>
    <w:qFormat/>
    <w:uiPriority w:val="1"/>
  </w:style>
  <w:style w:type="paragraph" w:customStyle="1" w:styleId="44">
    <w:name w:val="正文表标题"/>
    <w:next w:val="40"/>
    <w:qFormat/>
    <w:uiPriority w:val="0"/>
    <w:pPr>
      <w:numPr>
        <w:ilvl w:val="0"/>
        <w:numId w:val="1"/>
      </w:numPr>
      <w:spacing w:beforeLines="50" w:afterLines="50"/>
      <w:jc w:val="center"/>
    </w:pPr>
    <w:rPr>
      <w:rFonts w:ascii="黑体" w:hAnsi="Times New Roman" w:eastAsia="黑体" w:cs="Times New Roman"/>
      <w:sz w:val="21"/>
      <w:lang w:val="en-US" w:eastAsia="zh-CN" w:bidi="ar-SA"/>
    </w:rPr>
  </w:style>
  <w:style w:type="paragraph" w:customStyle="1" w:styleId="45">
    <w:name w:val="注×："/>
    <w:qFormat/>
    <w:uiPriority w:val="0"/>
    <w:pPr>
      <w:widowControl w:val="0"/>
      <w:numPr>
        <w:ilvl w:val="0"/>
        <w:numId w:val="2"/>
      </w:numPr>
      <w:autoSpaceDE w:val="0"/>
      <w:autoSpaceDN w:val="0"/>
      <w:jc w:val="both"/>
    </w:pPr>
    <w:rPr>
      <w:rFonts w:ascii="宋体" w:hAnsi="Times New Roman" w:eastAsia="宋体" w:cs="Times New Roman"/>
      <w:sz w:val="18"/>
      <w:szCs w:val="18"/>
      <w:lang w:val="en-US" w:eastAsia="zh-CN" w:bidi="ar-SA"/>
    </w:rPr>
  </w:style>
  <w:style w:type="paragraph" w:customStyle="1" w:styleId="46">
    <w:name w:val="正文C"/>
    <w:basedOn w:val="1"/>
    <w:qFormat/>
    <w:uiPriority w:val="0"/>
    <w:pPr>
      <w:ind w:firstLine="420" w:firstLineChars="200"/>
    </w:pPr>
    <w:rPr>
      <w:rFonts w:ascii="Calibri" w:hAnsi="Calibri"/>
      <w:sz w:val="21"/>
    </w:rPr>
  </w:style>
  <w:style w:type="character" w:customStyle="1" w:styleId="47">
    <w:name w:val="批注文字 Char"/>
    <w:basedOn w:val="28"/>
    <w:link w:val="9"/>
    <w:qFormat/>
    <w:uiPriority w:val="0"/>
    <w:rPr>
      <w:rFonts w:ascii="宋体" w:hAnsi="宋体" w:cs="宋体"/>
      <w:sz w:val="22"/>
      <w:szCs w:val="22"/>
      <w:lang w:val="zh-CN" w:bidi="zh-CN"/>
    </w:rPr>
  </w:style>
  <w:style w:type="character" w:customStyle="1" w:styleId="48">
    <w:name w:val="批注主题 Char"/>
    <w:basedOn w:val="47"/>
    <w:link w:val="23"/>
    <w:qFormat/>
    <w:uiPriority w:val="0"/>
    <w:rPr>
      <w:rFonts w:ascii="宋体" w:hAnsi="宋体" w:cs="宋体"/>
      <w:b/>
      <w:bCs/>
      <w:sz w:val="22"/>
      <w:szCs w:val="22"/>
      <w:lang w:val="zh-CN" w:bidi="zh-CN"/>
    </w:rPr>
  </w:style>
  <w:style w:type="character" w:customStyle="1" w:styleId="49">
    <w:name w:val="批注框文本 Char"/>
    <w:basedOn w:val="28"/>
    <w:link w:val="14"/>
    <w:qFormat/>
    <w:uiPriority w:val="0"/>
    <w:rPr>
      <w:rFonts w:ascii="宋体" w:hAnsi="宋体" w:cs="宋体"/>
      <w:sz w:val="18"/>
      <w:szCs w:val="18"/>
      <w:lang w:val="zh-CN" w:bidi="zh-CN"/>
    </w:rPr>
  </w:style>
  <w:style w:type="character" w:customStyle="1" w:styleId="50">
    <w:name w:val="数字EU Char"/>
    <w:link w:val="51"/>
    <w:qFormat/>
    <w:uiPriority w:val="0"/>
    <w:rPr>
      <w:rFonts w:ascii="EU-F1" w:hAnsi="Calibri" w:eastAsiaTheme="minorEastAsia" w:cstheme="minorBidi"/>
      <w:kern w:val="21"/>
      <w:szCs w:val="21"/>
    </w:rPr>
  </w:style>
  <w:style w:type="paragraph" w:customStyle="1" w:styleId="51">
    <w:name w:val="数字EU"/>
    <w:basedOn w:val="1"/>
    <w:link w:val="50"/>
    <w:qFormat/>
    <w:uiPriority w:val="0"/>
    <w:pPr>
      <w:wordWrap w:val="0"/>
      <w:overflowPunct w:val="0"/>
      <w:topLinePunct/>
      <w:adjustRightInd w:val="0"/>
      <w:spacing w:line="360" w:lineRule="atLeast"/>
      <w:textAlignment w:val="baseline"/>
    </w:pPr>
    <w:rPr>
      <w:rFonts w:ascii="EU-F1" w:hAnsi="Calibri" w:eastAsiaTheme="minorEastAsia" w:cstheme="minorBidi"/>
      <w:kern w:val="21"/>
      <w:szCs w:val="21"/>
    </w:rPr>
  </w:style>
  <w:style w:type="paragraph" w:customStyle="1" w:styleId="52">
    <w:name w:val="样式 标题 3 + (中文) 黑体 小四 非加粗 段前: 7.8 磅 段后: 0 磅 行距: 固定值 20 磅"/>
    <w:basedOn w:val="4"/>
    <w:qFormat/>
    <w:uiPriority w:val="0"/>
    <w:pPr>
      <w:spacing w:line="400" w:lineRule="exact"/>
    </w:pPr>
    <w:rPr>
      <w:rFonts w:eastAsia="黑体"/>
      <w:szCs w:val="20"/>
    </w:rPr>
  </w:style>
  <w:style w:type="character" w:customStyle="1" w:styleId="53">
    <w:name w:val="文档结构图 Char"/>
    <w:basedOn w:val="28"/>
    <w:link w:val="8"/>
    <w:qFormat/>
    <w:uiPriority w:val="0"/>
    <w:rPr>
      <w:rFonts w:ascii="宋体" w:hAnsi="宋体" w:eastAsia="宋体" w:cs="宋体"/>
      <w:sz w:val="18"/>
      <w:szCs w:val="18"/>
      <w:lang w:val="zh-CN" w:bidi="zh-CN"/>
    </w:rPr>
  </w:style>
  <w:style w:type="paragraph" w:customStyle="1" w:styleId="54">
    <w:name w:val="首行缩进"/>
    <w:basedOn w:val="1"/>
    <w:qFormat/>
    <w:uiPriority w:val="0"/>
    <w:pPr>
      <w:spacing w:line="360" w:lineRule="auto"/>
      <w:ind w:firstLine="480" w:firstLineChars="200"/>
    </w:pPr>
    <w:rPr>
      <w:sz w:val="24"/>
    </w:rPr>
  </w:style>
  <w:style w:type="paragraph" w:customStyle="1" w:styleId="55">
    <w:name w:val="lemmawgt-lemmatitle-title"/>
    <w:basedOn w:val="1"/>
    <w:qFormat/>
    <w:uiPriority w:val="0"/>
    <w:pPr>
      <w:spacing w:after="75" w:line="585" w:lineRule="atLeast"/>
    </w:pPr>
    <w:rPr>
      <w:rFonts w:cs="Times New Roman"/>
      <w:lang w:val="en-US" w:bidi="ar-SA"/>
    </w:rPr>
  </w:style>
  <w:style w:type="character" w:customStyle="1" w:styleId="56">
    <w:name w:val="fontborder"/>
    <w:basedOn w:val="28"/>
    <w:qFormat/>
    <w:uiPriority w:val="0"/>
    <w:rPr>
      <w:bdr w:val="single" w:color="000000" w:sz="6" w:space="0"/>
    </w:rPr>
  </w:style>
  <w:style w:type="character" w:customStyle="1" w:styleId="57">
    <w:name w:val="fontstrikethrough"/>
    <w:basedOn w:val="28"/>
    <w:qFormat/>
    <w:uiPriority w:val="0"/>
    <w:rPr>
      <w:strike/>
    </w:rPr>
  </w:style>
  <w:style w:type="character" w:customStyle="1" w:styleId="58">
    <w:name w:val="lemmawgt-lemmatitle-title1"/>
    <w:basedOn w:val="28"/>
    <w:qFormat/>
    <w:uiPriority w:val="0"/>
  </w:style>
  <w:style w:type="character" w:customStyle="1" w:styleId="59">
    <w:name w:val="font51"/>
    <w:basedOn w:val="28"/>
    <w:qFormat/>
    <w:uiPriority w:val="0"/>
    <w:rPr>
      <w:rFonts w:hint="eastAsia" w:ascii="宋体" w:hAnsi="宋体" w:eastAsia="宋体" w:cs="宋体"/>
      <w:color w:val="000000"/>
      <w:sz w:val="24"/>
      <w:szCs w:val="24"/>
      <w:u w:val="none"/>
    </w:rPr>
  </w:style>
  <w:style w:type="character" w:customStyle="1" w:styleId="60">
    <w:name w:val="layui-layer-tabnow"/>
    <w:basedOn w:val="28"/>
    <w:qFormat/>
    <w:uiPriority w:val="0"/>
    <w:rPr>
      <w:bdr w:val="single" w:color="CCCCCC" w:sz="6" w:space="0"/>
      <w:shd w:val="clear" w:color="auto" w:fill="FFFFFF"/>
    </w:rPr>
  </w:style>
  <w:style w:type="character" w:customStyle="1" w:styleId="61">
    <w:name w:val="first-child"/>
    <w:basedOn w:val="28"/>
    <w:qFormat/>
    <w:uiPriority w:val="0"/>
  </w:style>
  <w:style w:type="character" w:customStyle="1" w:styleId="62">
    <w:name w:val="dl"/>
    <w:basedOn w:val="28"/>
    <w:qFormat/>
    <w:uiPriority w:val="0"/>
  </w:style>
  <w:style w:type="character" w:customStyle="1" w:styleId="63">
    <w:name w:val="tag_close"/>
    <w:basedOn w:val="28"/>
    <w:qFormat/>
    <w:uiPriority w:val="0"/>
    <w:rPr>
      <w:rFonts w:ascii="Calibri" w:hAnsi="Calibri" w:eastAsia="Calibri" w:cs="Calibri"/>
      <w:sz w:val="22"/>
      <w:szCs w:val="22"/>
    </w:rPr>
  </w:style>
  <w:style w:type="character" w:customStyle="1" w:styleId="64">
    <w:name w:val="t12"/>
    <w:basedOn w:val="28"/>
    <w:qFormat/>
    <w:uiPriority w:val="0"/>
    <w:rPr>
      <w:sz w:val="27"/>
      <w:szCs w:val="27"/>
    </w:rPr>
  </w:style>
  <w:style w:type="character" w:customStyle="1" w:styleId="65">
    <w:name w:val="kaiban"/>
    <w:basedOn w:val="28"/>
    <w:qFormat/>
    <w:uiPriority w:val="0"/>
    <w:rPr>
      <w:color w:val="FFCC00"/>
    </w:rPr>
  </w:style>
  <w:style w:type="character" w:customStyle="1" w:styleId="66">
    <w:name w:val="zixun"/>
    <w:basedOn w:val="28"/>
    <w:qFormat/>
    <w:uiPriority w:val="0"/>
    <w:rPr>
      <w:color w:val="FF6600"/>
    </w:rPr>
  </w:style>
  <w:style w:type="character" w:customStyle="1" w:styleId="67">
    <w:name w:val="date2"/>
    <w:basedOn w:val="28"/>
    <w:qFormat/>
    <w:uiPriority w:val="0"/>
  </w:style>
  <w:style w:type="character" w:customStyle="1" w:styleId="68">
    <w:name w:val="date21"/>
    <w:basedOn w:val="28"/>
    <w:qFormat/>
    <w:uiPriority w:val="0"/>
  </w:style>
  <w:style w:type="character" w:customStyle="1" w:styleId="69">
    <w:name w:val="caret"/>
    <w:basedOn w:val="28"/>
    <w:qFormat/>
    <w:uiPriority w:val="0"/>
  </w:style>
  <w:style w:type="character" w:customStyle="1" w:styleId="70">
    <w:name w:val="stars"/>
    <w:basedOn w:val="28"/>
    <w:qFormat/>
    <w:uiPriority w:val="0"/>
  </w:style>
  <w:style w:type="character" w:customStyle="1" w:styleId="71">
    <w:name w:val="stars1"/>
    <w:basedOn w:val="28"/>
    <w:qFormat/>
    <w:uiPriority w:val="0"/>
  </w:style>
  <w:style w:type="character" w:customStyle="1" w:styleId="72">
    <w:name w:val="question"/>
    <w:basedOn w:val="28"/>
    <w:qFormat/>
    <w:uiPriority w:val="0"/>
  </w:style>
  <w:style w:type="character" w:customStyle="1" w:styleId="73">
    <w:name w:val="font31"/>
    <w:basedOn w:val="28"/>
    <w:qFormat/>
    <w:uiPriority w:val="0"/>
    <w:rPr>
      <w:rFonts w:ascii="hakuyoxingshu7000" w:hAnsi="hakuyoxingshu7000" w:eastAsia="hakuyoxingshu7000" w:cs="hakuyoxingshu7000"/>
      <w:color w:val="000000"/>
      <w:sz w:val="20"/>
      <w:szCs w:val="20"/>
      <w:u w:val="none"/>
    </w:rPr>
  </w:style>
  <w:style w:type="character" w:customStyle="1" w:styleId="74">
    <w:name w:val="font21"/>
    <w:basedOn w:val="28"/>
    <w:qFormat/>
    <w:uiPriority w:val="0"/>
    <w:rPr>
      <w:rFonts w:hint="eastAsia" w:ascii="宋体" w:hAnsi="宋体" w:eastAsia="宋体" w:cs="宋体"/>
      <w:color w:val="000000"/>
      <w:sz w:val="20"/>
      <w:szCs w:val="20"/>
      <w:u w:val="none"/>
    </w:rPr>
  </w:style>
  <w:style w:type="character" w:customStyle="1" w:styleId="75">
    <w:name w:val="正文文本 Char"/>
    <w:basedOn w:val="28"/>
    <w:link w:val="10"/>
    <w:qFormat/>
    <w:uiPriority w:val="1"/>
    <w:rPr>
      <w:rFonts w:ascii="宋体" w:hAnsi="宋体" w:cs="宋体"/>
      <w:sz w:val="21"/>
      <w:szCs w:val="21"/>
      <w:lang w:val="zh-CN" w:bidi="zh-CN"/>
    </w:rPr>
  </w:style>
  <w:style w:type="character" w:customStyle="1" w:styleId="76">
    <w:name w:val="正文首行缩进 Char"/>
    <w:basedOn w:val="75"/>
    <w:link w:val="24"/>
    <w:qFormat/>
    <w:uiPriority w:val="0"/>
    <w:rPr>
      <w:rFonts w:ascii="宋体" w:hAnsi="宋体" w:cs="宋体"/>
      <w:sz w:val="21"/>
      <w:szCs w:val="21"/>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2CFECD-D4E4-4A16-B1D9-CDC299E46D5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3910</Words>
  <Characters>22288</Characters>
  <Lines>185</Lines>
  <Paragraphs>52</Paragraphs>
  <TotalTime>5</TotalTime>
  <ScaleCrop>false</ScaleCrop>
  <LinksUpToDate>false</LinksUpToDate>
  <CharactersWithSpaces>26146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2021-07-11T23:16:00Z</dcterms:created>
  <dc:creator>Administrator</dc:creator>
  <cp:lastModifiedBy>冲，俊！</cp:lastModifiedBy>
  <cp:lastPrinted>2021-10-18T07:37:00Z</cp:lastPrinted>
  <dcterms:modified xsi:type="dcterms:W3CDTF">2021-10-19T06:46:56Z</dcterms:modified>
  <dc:title>(NTKOOFFICE????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2017-09-08T00:00:00Z</vt:filetime>
  </property>
  <property fmtid="{D5CDD505-2E9C-101B-9397-08002B2CF9AE}" pid="3" name="Creator">
    <vt:lpwstr>PDFCreator Version 1.2.3</vt:lpwstr>
  </property>
  <property fmtid="{D5CDD505-2E9C-101B-9397-08002B2CF9AE}" pid="4" name="LastSaved">
    <vt:filetime>2019-07-11T00:00:00Z</vt:filetime>
  </property>
  <property fmtid="{D5CDD505-2E9C-101B-9397-08002B2CF9AE}" pid="5" name="KSOProductBuildVer">
    <vt:lpwstr>2052-11.1.0.10938</vt:lpwstr>
  </property>
  <property fmtid="{D5CDD505-2E9C-101B-9397-08002B2CF9AE}" pid="6" name="ICV">
    <vt:lpwstr>4B136AC5683F4BE5B53E36B6C5496AAA</vt:lpwstr>
  </property>
</Properties>
</file>