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center"/>
        <w:rPr>
          <w:rFonts w:hint="eastAsia" w:ascii="黑体" w:hAnsi="黑体" w:eastAsia="黑体" w:cs="黑体"/>
          <w:bCs/>
          <w:sz w:val="36"/>
          <w:szCs w:val="36"/>
          <w:highlight w:val="none"/>
        </w:rPr>
      </w:pPr>
    </w:p>
    <w:p>
      <w:pPr>
        <w:pStyle w:val="5"/>
        <w:spacing w:line="360" w:lineRule="auto"/>
        <w:jc w:val="center"/>
        <w:rPr>
          <w:rFonts w:hint="eastAsia" w:ascii="黑体" w:hAnsi="黑体" w:eastAsia="黑体" w:cs="黑体"/>
          <w:bCs/>
          <w:sz w:val="36"/>
          <w:szCs w:val="36"/>
          <w:highlight w:val="none"/>
        </w:rPr>
      </w:pPr>
    </w:p>
    <w:p>
      <w:pPr>
        <w:pStyle w:val="5"/>
        <w:spacing w:line="360" w:lineRule="auto"/>
        <w:jc w:val="center"/>
        <w:rPr>
          <w:rFonts w:hint="eastAsia" w:ascii="黑体" w:hAnsi="黑体" w:eastAsia="黑体" w:cs="黑体"/>
          <w:bCs/>
          <w:sz w:val="36"/>
          <w:szCs w:val="36"/>
          <w:highlight w:val="none"/>
        </w:rPr>
      </w:pPr>
    </w:p>
    <w:p>
      <w:pPr>
        <w:pStyle w:val="5"/>
        <w:spacing w:line="360" w:lineRule="auto"/>
        <w:jc w:val="center"/>
        <w:rPr>
          <w:rFonts w:hint="eastAsia" w:ascii="黑体" w:hAnsi="黑体" w:eastAsia="黑体" w:cs="黑体"/>
          <w:bCs/>
          <w:sz w:val="36"/>
          <w:szCs w:val="36"/>
          <w:highlight w:val="none"/>
        </w:rPr>
      </w:pPr>
    </w:p>
    <w:p>
      <w:pPr>
        <w:pStyle w:val="5"/>
        <w:spacing w:line="360" w:lineRule="auto"/>
        <w:jc w:val="center"/>
        <w:rPr>
          <w:rFonts w:hint="eastAsia" w:ascii="黑体" w:hAnsi="黑体" w:eastAsia="黑体" w:cs="黑体"/>
          <w:bCs/>
          <w:sz w:val="44"/>
          <w:szCs w:val="44"/>
          <w:highlight w:val="none"/>
        </w:rPr>
      </w:pPr>
      <w:r>
        <w:rPr>
          <w:rFonts w:hint="eastAsia" w:ascii="黑体" w:hAnsi="黑体" w:eastAsia="黑体" w:cs="黑体"/>
          <w:bCs/>
          <w:sz w:val="44"/>
          <w:szCs w:val="44"/>
          <w:highlight w:val="none"/>
        </w:rPr>
        <w:t>黄石市建筑材料循环利用项目</w:t>
      </w:r>
    </w:p>
    <w:p>
      <w:pPr>
        <w:pStyle w:val="5"/>
        <w:spacing w:line="360" w:lineRule="auto"/>
        <w:jc w:val="center"/>
        <w:rPr>
          <w:rFonts w:hint="eastAsia" w:ascii="黑体" w:hAnsi="黑体" w:eastAsia="黑体" w:cs="黑体"/>
          <w:bCs/>
          <w:sz w:val="44"/>
          <w:szCs w:val="44"/>
          <w:highlight w:val="none"/>
        </w:rPr>
      </w:pPr>
    </w:p>
    <w:p>
      <w:pPr>
        <w:pStyle w:val="5"/>
        <w:spacing w:line="360" w:lineRule="auto"/>
        <w:jc w:val="center"/>
        <w:rPr>
          <w:rFonts w:hint="eastAsia" w:ascii="黑体" w:hAnsi="黑体" w:eastAsia="黑体" w:cs="黑体"/>
          <w:bCs/>
          <w:sz w:val="44"/>
          <w:szCs w:val="44"/>
          <w:highlight w:val="none"/>
        </w:rPr>
      </w:pPr>
    </w:p>
    <w:p>
      <w:pPr>
        <w:pStyle w:val="5"/>
        <w:spacing w:line="360" w:lineRule="auto"/>
        <w:jc w:val="center"/>
        <w:rPr>
          <w:rFonts w:hint="eastAsia" w:ascii="黑体" w:hAnsi="黑体" w:eastAsia="黑体" w:cs="黑体"/>
          <w:bCs/>
          <w:sz w:val="44"/>
          <w:szCs w:val="44"/>
          <w:highlight w:val="none"/>
        </w:rPr>
      </w:pPr>
      <w:r>
        <w:rPr>
          <w:rFonts w:hint="eastAsia" w:ascii="黑体" w:hAnsi="黑体" w:eastAsia="黑体" w:cs="黑体"/>
          <w:bCs/>
          <w:sz w:val="44"/>
          <w:szCs w:val="44"/>
          <w:highlight w:val="none"/>
        </w:rPr>
        <w:t>粉尘治理</w:t>
      </w:r>
      <w:r>
        <w:rPr>
          <w:rFonts w:hint="eastAsia" w:ascii="黑体" w:hAnsi="黑体" w:eastAsia="黑体" w:cs="黑体"/>
          <w:bCs/>
          <w:sz w:val="44"/>
          <w:szCs w:val="44"/>
          <w:highlight w:val="none"/>
          <w:lang w:val="en-US" w:eastAsia="zh-CN"/>
        </w:rPr>
        <w:t>专业工程</w:t>
      </w:r>
      <w:r>
        <w:rPr>
          <w:rFonts w:hint="eastAsia" w:ascii="黑体" w:hAnsi="黑体" w:eastAsia="黑体" w:cs="黑体"/>
          <w:bCs/>
          <w:sz w:val="44"/>
          <w:szCs w:val="44"/>
          <w:highlight w:val="none"/>
        </w:rPr>
        <w:t>方案</w:t>
      </w:r>
    </w:p>
    <w:p>
      <w:pPr>
        <w:pStyle w:val="5"/>
        <w:spacing w:line="360" w:lineRule="auto"/>
        <w:jc w:val="center"/>
        <w:rPr>
          <w:rFonts w:hint="eastAsia" w:ascii="黑体" w:hAnsi="黑体" w:eastAsia="黑体" w:cs="黑体"/>
          <w:bCs/>
          <w:sz w:val="44"/>
          <w:szCs w:val="44"/>
          <w:highlight w:val="none"/>
          <w:lang w:val="en-US" w:eastAsia="zh-CN"/>
        </w:rPr>
        <w:sectPr>
          <w:pgSz w:w="11906" w:h="16838"/>
          <w:pgMar w:top="1440" w:right="1800" w:bottom="1440" w:left="1800" w:header="851" w:footer="992" w:gutter="0"/>
          <w:pgNumType w:fmt="upperRoman"/>
          <w:cols w:space="425" w:num="1"/>
          <w:docGrid w:type="lines" w:linePitch="312" w:charSpace="0"/>
        </w:sectPr>
      </w:pPr>
    </w:p>
    <w:sdt>
      <w:sdtPr>
        <w:rPr>
          <w:rFonts w:hint="eastAsia" w:ascii="宋体" w:hAnsi="宋体" w:eastAsia="宋体" w:cs="宋体"/>
          <w:b/>
          <w:bCs/>
          <w:kern w:val="2"/>
          <w:sz w:val="32"/>
          <w:szCs w:val="32"/>
          <w:highlight w:val="none"/>
          <w:lang w:val="en-US" w:eastAsia="zh-CN" w:bidi="ar-SA"/>
        </w:rPr>
        <w:id w:val="147463768"/>
        <w15:color w:val="DBDBDB"/>
        <w:docPartObj>
          <w:docPartGallery w:val="Table of Contents"/>
          <w:docPartUnique/>
        </w:docPartObj>
      </w:sdtPr>
      <w:sdtEndPr>
        <w:rPr>
          <w:rFonts w:hint="eastAsia" w:ascii="宋体" w:hAnsi="宋体" w:eastAsia="宋体" w:cs="宋体"/>
          <w:b/>
          <w:bCs/>
          <w:kern w:val="2"/>
          <w:sz w:val="32"/>
          <w:szCs w:val="32"/>
          <w:highlight w:val="none"/>
          <w:lang w:val="en-US" w:eastAsia="zh-CN" w:bidi="ar-SA"/>
        </w:rPr>
      </w:sdtEndPr>
      <w:sdtContent>
        <w:p>
          <w:pPr>
            <w:spacing w:before="0" w:beforeLines="0" w:after="0" w:afterLines="0" w:line="360" w:lineRule="auto"/>
            <w:ind w:left="0" w:leftChars="0" w:right="0" w:rightChars="0" w:firstLine="0" w:firstLineChars="0"/>
            <w:jc w:val="center"/>
            <w:rPr>
              <w:rFonts w:hint="eastAsia" w:ascii="宋体" w:hAnsi="宋体" w:eastAsia="宋体" w:cs="宋体"/>
              <w:b/>
              <w:bCs/>
              <w:sz w:val="32"/>
              <w:szCs w:val="32"/>
              <w:highlight w:val="none"/>
            </w:rPr>
          </w:pPr>
          <w:bookmarkStart w:id="0" w:name="_Toc12576"/>
          <w:bookmarkStart w:id="1" w:name="_Toc11223"/>
          <w:bookmarkStart w:id="2" w:name="_Toc26858"/>
          <w:bookmarkStart w:id="3" w:name="_Toc22086"/>
          <w:r>
            <w:rPr>
              <w:rFonts w:hint="eastAsia" w:ascii="宋体" w:hAnsi="宋体" w:eastAsia="宋体" w:cs="宋体"/>
              <w:b/>
              <w:bCs/>
              <w:sz w:val="32"/>
              <w:szCs w:val="32"/>
              <w:highlight w:val="none"/>
            </w:rPr>
            <w:t>目录</w:t>
          </w:r>
        </w:p>
        <w:p>
          <w:pPr>
            <w:pStyle w:val="19"/>
            <w:tabs>
              <w:tab w:val="right" w:leader="dot" w:pos="8306"/>
            </w:tabs>
            <w:spacing w:line="360" w:lineRule="auto"/>
            <w:rPr>
              <w:rFonts w:hint="eastAsia" w:ascii="宋体" w:hAnsi="宋体" w:eastAsia="宋体" w:cs="宋体"/>
              <w:b/>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TOC \o "1-2" \h \u </w:instrText>
          </w:r>
          <w:r>
            <w:rPr>
              <w:rFonts w:hint="eastAsia" w:ascii="宋体" w:hAnsi="宋体" w:eastAsia="宋体" w:cs="宋体"/>
              <w:sz w:val="28"/>
              <w:szCs w:val="28"/>
              <w:highlight w:val="none"/>
            </w:rPr>
            <w:fldChar w:fldCharType="separate"/>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_Toc12995 </w:instrText>
          </w:r>
          <w:r>
            <w:rPr>
              <w:rFonts w:hint="eastAsia" w:ascii="宋体" w:hAnsi="宋体" w:eastAsia="宋体" w:cs="宋体"/>
              <w:b/>
              <w:sz w:val="28"/>
              <w:szCs w:val="28"/>
              <w:highlight w:val="none"/>
            </w:rPr>
            <w:fldChar w:fldCharType="separate"/>
          </w:r>
          <w:r>
            <w:rPr>
              <w:rFonts w:hint="eastAsia" w:ascii="宋体" w:hAnsi="宋体" w:eastAsia="宋体" w:cs="宋体"/>
              <w:b/>
              <w:kern w:val="0"/>
              <w:sz w:val="28"/>
              <w:szCs w:val="28"/>
              <w:highlight w:val="none"/>
              <w:lang w:val="en-US" w:eastAsia="zh-CN"/>
            </w:rPr>
            <w:t>一、</w:t>
          </w:r>
          <w:r>
            <w:rPr>
              <w:rFonts w:hint="eastAsia" w:ascii="宋体" w:hAnsi="宋体" w:eastAsia="宋体" w:cs="宋体"/>
              <w:b/>
              <w:kern w:val="0"/>
              <w:sz w:val="28"/>
              <w:szCs w:val="28"/>
              <w:highlight w:val="none"/>
            </w:rPr>
            <w:t>项目概述</w:t>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PAGEREF _Toc12995 </w:instrText>
          </w:r>
          <w:r>
            <w:rPr>
              <w:rFonts w:hint="eastAsia" w:ascii="宋体" w:hAnsi="宋体" w:eastAsia="宋体" w:cs="宋体"/>
              <w:b/>
              <w:sz w:val="28"/>
              <w:szCs w:val="28"/>
              <w:highlight w:val="none"/>
            </w:rPr>
            <w:fldChar w:fldCharType="separate"/>
          </w:r>
          <w:r>
            <w:rPr>
              <w:rFonts w:hint="eastAsia" w:ascii="宋体" w:hAnsi="宋体" w:eastAsia="宋体" w:cs="宋体"/>
              <w:b/>
              <w:sz w:val="28"/>
              <w:szCs w:val="28"/>
              <w:highlight w:val="none"/>
            </w:rPr>
            <w:t>1</w:t>
          </w:r>
          <w:r>
            <w:rPr>
              <w:rFonts w:hint="eastAsia" w:ascii="宋体" w:hAnsi="宋体" w:eastAsia="宋体" w:cs="宋体"/>
              <w:b/>
              <w:sz w:val="28"/>
              <w:szCs w:val="28"/>
              <w:highlight w:val="none"/>
            </w:rPr>
            <w:fldChar w:fldCharType="end"/>
          </w:r>
          <w:r>
            <w:rPr>
              <w:rFonts w:hint="eastAsia" w:ascii="宋体" w:hAnsi="宋体" w:eastAsia="宋体" w:cs="宋体"/>
              <w:b/>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_Toc8285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1.</w:t>
          </w:r>
          <w:r>
            <w:rPr>
              <w:rFonts w:hint="eastAsia" w:ascii="宋体" w:hAnsi="宋体" w:eastAsia="宋体" w:cs="宋体"/>
              <w:kern w:val="0"/>
              <w:sz w:val="28"/>
              <w:szCs w:val="28"/>
              <w:highlight w:val="none"/>
            </w:rPr>
            <w:t>1. 项目基本情况</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_Toc8285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_Toc29230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1.</w:t>
          </w:r>
          <w:r>
            <w:rPr>
              <w:rFonts w:hint="eastAsia" w:ascii="宋体" w:hAnsi="宋体" w:eastAsia="宋体" w:cs="宋体"/>
              <w:kern w:val="0"/>
              <w:sz w:val="28"/>
              <w:szCs w:val="28"/>
              <w:highlight w:val="none"/>
            </w:rPr>
            <w:t>2. 项目主要功能</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_Toc29230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_Toc24145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1.</w:t>
          </w:r>
          <w:r>
            <w:rPr>
              <w:rFonts w:hint="eastAsia" w:ascii="宋体" w:hAnsi="宋体" w:eastAsia="宋体" w:cs="宋体"/>
              <w:kern w:val="0"/>
              <w:sz w:val="28"/>
              <w:szCs w:val="28"/>
              <w:highlight w:val="none"/>
            </w:rPr>
            <w:t>3. 主要工艺流程</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_Toc24145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spacing w:line="360"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_Toc8402 </w:instrText>
          </w:r>
          <w:r>
            <w:rPr>
              <w:rFonts w:hint="eastAsia" w:ascii="宋体" w:hAnsi="宋体" w:eastAsia="宋体" w:cs="宋体"/>
              <w:b/>
              <w:sz w:val="28"/>
              <w:szCs w:val="28"/>
              <w:highlight w:val="none"/>
            </w:rPr>
            <w:fldChar w:fldCharType="separate"/>
          </w:r>
          <w:r>
            <w:rPr>
              <w:rFonts w:hint="eastAsia" w:ascii="宋体" w:hAnsi="宋体" w:eastAsia="宋体" w:cs="宋体"/>
              <w:b/>
              <w:kern w:val="0"/>
              <w:sz w:val="28"/>
              <w:szCs w:val="28"/>
              <w:highlight w:val="none"/>
              <w:lang w:val="en-US" w:eastAsia="zh-CN"/>
            </w:rPr>
            <w:t>二、技术要求</w:t>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PAGEREF _Toc8402 </w:instrText>
          </w:r>
          <w:r>
            <w:rPr>
              <w:rFonts w:hint="eastAsia" w:ascii="宋体" w:hAnsi="宋体" w:eastAsia="宋体" w:cs="宋体"/>
              <w:b/>
              <w:sz w:val="28"/>
              <w:szCs w:val="28"/>
              <w:highlight w:val="none"/>
            </w:rPr>
            <w:fldChar w:fldCharType="separate"/>
          </w:r>
          <w:r>
            <w:rPr>
              <w:rFonts w:hint="eastAsia" w:ascii="宋体" w:hAnsi="宋体" w:eastAsia="宋体" w:cs="宋体"/>
              <w:b/>
              <w:sz w:val="28"/>
              <w:szCs w:val="28"/>
              <w:highlight w:val="none"/>
            </w:rPr>
            <w:t>4</w:t>
          </w:r>
          <w:r>
            <w:rPr>
              <w:rFonts w:hint="eastAsia" w:ascii="宋体" w:hAnsi="宋体" w:eastAsia="宋体" w:cs="宋体"/>
              <w:b/>
              <w:sz w:val="28"/>
              <w:szCs w:val="28"/>
              <w:highlight w:val="none"/>
            </w:rPr>
            <w:fldChar w:fldCharType="end"/>
          </w:r>
          <w:r>
            <w:rPr>
              <w:rFonts w:hint="eastAsia" w:ascii="宋体" w:hAnsi="宋体" w:eastAsia="宋体" w:cs="宋体"/>
              <w:b/>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_Toc385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2.1</w:t>
          </w:r>
          <w:r>
            <w:rPr>
              <w:rFonts w:hint="eastAsia" w:ascii="宋体" w:hAnsi="宋体" w:eastAsia="宋体" w:cs="宋体"/>
              <w:kern w:val="0"/>
              <w:sz w:val="28"/>
              <w:szCs w:val="28"/>
              <w:highlight w:val="none"/>
            </w:rPr>
            <w:t xml:space="preserve">. </w:t>
          </w:r>
          <w:r>
            <w:rPr>
              <w:rFonts w:hint="eastAsia" w:ascii="宋体" w:hAnsi="宋体" w:eastAsia="宋体" w:cs="宋体"/>
              <w:kern w:val="0"/>
              <w:sz w:val="28"/>
              <w:szCs w:val="28"/>
              <w:highlight w:val="none"/>
              <w:lang w:val="en-US" w:eastAsia="zh-CN"/>
            </w:rPr>
            <w:t>设计、制造原则</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_Toc385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4</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_Toc28689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2.2</w:t>
          </w:r>
          <w:r>
            <w:rPr>
              <w:rFonts w:hint="eastAsia" w:ascii="宋体" w:hAnsi="宋体" w:eastAsia="宋体" w:cs="宋体"/>
              <w:kern w:val="0"/>
              <w:sz w:val="28"/>
              <w:szCs w:val="28"/>
              <w:highlight w:val="none"/>
            </w:rPr>
            <w:t xml:space="preserve">. </w:t>
          </w:r>
          <w:r>
            <w:rPr>
              <w:rFonts w:hint="eastAsia" w:ascii="宋体" w:hAnsi="宋体" w:eastAsia="宋体" w:cs="宋体"/>
              <w:kern w:val="0"/>
              <w:sz w:val="28"/>
              <w:szCs w:val="28"/>
              <w:highlight w:val="none"/>
              <w:lang w:val="en-US" w:eastAsia="zh-CN"/>
            </w:rPr>
            <w:t>设计、制造、验收标准与规范</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_Toc28689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5</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_Toc5878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2.3</w:t>
          </w:r>
          <w:r>
            <w:rPr>
              <w:rFonts w:hint="eastAsia" w:ascii="宋体" w:hAnsi="宋体" w:eastAsia="宋体" w:cs="宋体"/>
              <w:kern w:val="0"/>
              <w:sz w:val="28"/>
              <w:szCs w:val="28"/>
              <w:highlight w:val="none"/>
            </w:rPr>
            <w:t xml:space="preserve">. </w:t>
          </w:r>
          <w:r>
            <w:rPr>
              <w:rFonts w:hint="eastAsia" w:ascii="宋体" w:hAnsi="宋体" w:eastAsia="宋体" w:cs="宋体"/>
              <w:kern w:val="0"/>
              <w:sz w:val="28"/>
              <w:szCs w:val="28"/>
              <w:highlight w:val="none"/>
              <w:lang w:val="en-US" w:eastAsia="zh-CN"/>
            </w:rPr>
            <w:t>服务范围及设计指标</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_Toc5878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5</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spacing w:line="360"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_Toc7480 </w:instrText>
          </w:r>
          <w:r>
            <w:rPr>
              <w:rFonts w:hint="eastAsia" w:ascii="宋体" w:hAnsi="宋体" w:eastAsia="宋体" w:cs="宋体"/>
              <w:b/>
              <w:sz w:val="28"/>
              <w:szCs w:val="28"/>
              <w:highlight w:val="none"/>
            </w:rPr>
            <w:fldChar w:fldCharType="separate"/>
          </w:r>
          <w:r>
            <w:rPr>
              <w:rFonts w:hint="eastAsia" w:ascii="宋体" w:hAnsi="宋体" w:eastAsia="宋体" w:cs="宋体"/>
              <w:b/>
              <w:kern w:val="0"/>
              <w:sz w:val="28"/>
              <w:szCs w:val="28"/>
              <w:highlight w:val="none"/>
              <w:lang w:val="en-US" w:eastAsia="zh-CN"/>
            </w:rPr>
            <w:t>三、产尘点分析</w:t>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PAGEREF _Toc7480 </w:instrText>
          </w:r>
          <w:r>
            <w:rPr>
              <w:rFonts w:hint="eastAsia" w:ascii="宋体" w:hAnsi="宋体" w:eastAsia="宋体" w:cs="宋体"/>
              <w:b/>
              <w:sz w:val="28"/>
              <w:szCs w:val="28"/>
              <w:highlight w:val="none"/>
            </w:rPr>
            <w:fldChar w:fldCharType="separate"/>
          </w:r>
          <w:r>
            <w:rPr>
              <w:rFonts w:hint="eastAsia" w:ascii="宋体" w:hAnsi="宋体" w:eastAsia="宋体" w:cs="宋体"/>
              <w:b/>
              <w:sz w:val="28"/>
              <w:szCs w:val="28"/>
              <w:highlight w:val="none"/>
            </w:rPr>
            <w:t>7</w:t>
          </w:r>
          <w:r>
            <w:rPr>
              <w:rFonts w:hint="eastAsia" w:ascii="宋体" w:hAnsi="宋体" w:eastAsia="宋体" w:cs="宋体"/>
              <w:b/>
              <w:sz w:val="28"/>
              <w:szCs w:val="28"/>
              <w:highlight w:val="none"/>
            </w:rPr>
            <w:fldChar w:fldCharType="end"/>
          </w:r>
          <w:r>
            <w:rPr>
              <w:rFonts w:hint="eastAsia" w:ascii="宋体" w:hAnsi="宋体" w:eastAsia="宋体" w:cs="宋体"/>
              <w:b/>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_Toc24975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（1）建筑垃圾卸料堆放区</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_Toc24975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7</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_Toc30564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（2）上料环节</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_Toc30564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7</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_Toc5316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（3）颚式破碎机</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_Toc5316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7</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_Toc18872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（4）皮带转接处</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_Toc18872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8</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_Toc18063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（5）反击破</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_Toc18063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8</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_Toc29727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（6）振动筛</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_Toc29727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8</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_Toc22949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（7）骨料仓皮带落料点</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_Toc22949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9</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_Toc3876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（8）水稳和制砖区</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_Toc3876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9</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spacing w:line="360"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_Toc27231 </w:instrText>
          </w:r>
          <w:r>
            <w:rPr>
              <w:rFonts w:hint="eastAsia" w:ascii="宋体" w:hAnsi="宋体" w:eastAsia="宋体" w:cs="宋体"/>
              <w:b/>
              <w:sz w:val="28"/>
              <w:szCs w:val="28"/>
              <w:highlight w:val="none"/>
            </w:rPr>
            <w:fldChar w:fldCharType="separate"/>
          </w:r>
          <w:r>
            <w:rPr>
              <w:rFonts w:hint="eastAsia" w:ascii="宋体" w:hAnsi="宋体" w:eastAsia="宋体" w:cs="宋体"/>
              <w:b/>
              <w:kern w:val="0"/>
              <w:sz w:val="28"/>
              <w:szCs w:val="28"/>
              <w:highlight w:val="none"/>
              <w:lang w:val="en-US" w:eastAsia="zh-CN"/>
            </w:rPr>
            <w:t>四、粉尘治理方案</w:t>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PAGEREF _Toc27231 </w:instrText>
          </w:r>
          <w:r>
            <w:rPr>
              <w:rFonts w:hint="eastAsia" w:ascii="宋体" w:hAnsi="宋体" w:eastAsia="宋体" w:cs="宋体"/>
              <w:b/>
              <w:sz w:val="28"/>
              <w:szCs w:val="28"/>
              <w:highlight w:val="none"/>
            </w:rPr>
            <w:fldChar w:fldCharType="separate"/>
          </w:r>
          <w:r>
            <w:rPr>
              <w:rFonts w:hint="eastAsia" w:ascii="宋体" w:hAnsi="宋体" w:eastAsia="宋体" w:cs="宋体"/>
              <w:b/>
              <w:sz w:val="28"/>
              <w:szCs w:val="28"/>
              <w:highlight w:val="none"/>
            </w:rPr>
            <w:t>10</w:t>
          </w:r>
          <w:r>
            <w:rPr>
              <w:rFonts w:hint="eastAsia" w:ascii="宋体" w:hAnsi="宋体" w:eastAsia="宋体" w:cs="宋体"/>
              <w:b/>
              <w:sz w:val="28"/>
              <w:szCs w:val="28"/>
              <w:highlight w:val="none"/>
            </w:rPr>
            <w:fldChar w:fldCharType="end"/>
          </w:r>
          <w:r>
            <w:rPr>
              <w:rFonts w:hint="eastAsia" w:ascii="宋体" w:hAnsi="宋体" w:eastAsia="宋体" w:cs="宋体"/>
              <w:b/>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_Toc7096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4.1. 破碎车间工艺流程图</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_Toc7096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10</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_Toc23555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4.2. 性能指标</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_Toc23555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10</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_Toc1486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4.3. 技术方案</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_Toc1486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10</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_Toc20821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4.4. 主要设备材料</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_Toc20821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16</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spacing w:line="360"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_Toc14651 </w:instrText>
          </w:r>
          <w:r>
            <w:rPr>
              <w:rFonts w:hint="eastAsia" w:ascii="宋体" w:hAnsi="宋体" w:eastAsia="宋体" w:cs="宋体"/>
              <w:b/>
              <w:sz w:val="28"/>
              <w:szCs w:val="28"/>
              <w:highlight w:val="none"/>
            </w:rPr>
            <w:fldChar w:fldCharType="separate"/>
          </w:r>
          <w:r>
            <w:rPr>
              <w:rFonts w:hint="eastAsia" w:ascii="宋体" w:hAnsi="宋体" w:eastAsia="宋体" w:cs="宋体"/>
              <w:b/>
              <w:kern w:val="0"/>
              <w:sz w:val="28"/>
              <w:szCs w:val="28"/>
              <w:highlight w:val="none"/>
              <w:lang w:val="en-US" w:eastAsia="zh-CN"/>
            </w:rPr>
            <w:t xml:space="preserve">五、 </w:t>
          </w:r>
          <w:r>
            <w:rPr>
              <w:rFonts w:hint="eastAsia" w:ascii="宋体" w:hAnsi="宋体" w:eastAsia="宋体" w:cs="宋体"/>
              <w:b/>
              <w:sz w:val="28"/>
              <w:szCs w:val="28"/>
              <w:highlight w:val="none"/>
              <w:lang w:val="en-US" w:eastAsia="zh-CN"/>
            </w:rPr>
            <w:t>干雾抑尘系统</w:t>
          </w:r>
          <w:r>
            <w:rPr>
              <w:rFonts w:hint="eastAsia" w:ascii="宋体" w:hAnsi="宋体" w:eastAsia="宋体" w:cs="宋体"/>
              <w:b/>
              <w:kern w:val="0"/>
              <w:sz w:val="28"/>
              <w:szCs w:val="28"/>
              <w:highlight w:val="none"/>
              <w:lang w:val="en-US" w:eastAsia="zh-CN"/>
            </w:rPr>
            <w:t>设计条件及要求</w:t>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PAGEREF _Toc14651 </w:instrText>
          </w:r>
          <w:r>
            <w:rPr>
              <w:rFonts w:hint="eastAsia" w:ascii="宋体" w:hAnsi="宋体" w:eastAsia="宋体" w:cs="宋体"/>
              <w:b/>
              <w:sz w:val="28"/>
              <w:szCs w:val="28"/>
              <w:highlight w:val="none"/>
            </w:rPr>
            <w:fldChar w:fldCharType="separate"/>
          </w:r>
          <w:r>
            <w:rPr>
              <w:rFonts w:hint="eastAsia" w:ascii="宋体" w:hAnsi="宋体" w:eastAsia="宋体" w:cs="宋体"/>
              <w:b/>
              <w:sz w:val="28"/>
              <w:szCs w:val="28"/>
              <w:highlight w:val="none"/>
            </w:rPr>
            <w:t>18</w:t>
          </w:r>
          <w:r>
            <w:rPr>
              <w:rFonts w:hint="eastAsia" w:ascii="宋体" w:hAnsi="宋体" w:eastAsia="宋体" w:cs="宋体"/>
              <w:b/>
              <w:sz w:val="28"/>
              <w:szCs w:val="28"/>
              <w:highlight w:val="none"/>
            </w:rPr>
            <w:fldChar w:fldCharType="end"/>
          </w:r>
          <w:r>
            <w:rPr>
              <w:rFonts w:hint="eastAsia" w:ascii="宋体" w:hAnsi="宋体" w:eastAsia="宋体" w:cs="宋体"/>
              <w:b/>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_Toc29323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val="en-US" w:eastAsia="zh-CN"/>
            </w:rPr>
            <w:t>5.1. 干雾抑尘装置原理及组成</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_Toc29323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18</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_Toc16960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5.2</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性能要求</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_Toc16960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20</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_Toc13348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5.3</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配置清单</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_Toc13348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22</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spacing w:line="360"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_Toc32669 </w:instrText>
          </w:r>
          <w:r>
            <w:rPr>
              <w:rFonts w:hint="eastAsia" w:ascii="宋体" w:hAnsi="宋体" w:eastAsia="宋体" w:cs="宋体"/>
              <w:b/>
              <w:sz w:val="28"/>
              <w:szCs w:val="28"/>
              <w:highlight w:val="none"/>
            </w:rPr>
            <w:fldChar w:fldCharType="separate"/>
          </w:r>
          <w:r>
            <w:rPr>
              <w:rFonts w:hint="eastAsia" w:ascii="宋体" w:hAnsi="宋体" w:eastAsia="宋体" w:cs="宋体"/>
              <w:b/>
              <w:kern w:val="0"/>
              <w:sz w:val="28"/>
              <w:szCs w:val="28"/>
              <w:highlight w:val="none"/>
              <w:lang w:val="en-US" w:eastAsia="zh-CN"/>
            </w:rPr>
            <w:t>六、 除尘系统设计条件及要求</w:t>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PAGEREF _Toc32669 </w:instrText>
          </w:r>
          <w:r>
            <w:rPr>
              <w:rFonts w:hint="eastAsia" w:ascii="宋体" w:hAnsi="宋体" w:eastAsia="宋体" w:cs="宋体"/>
              <w:b/>
              <w:sz w:val="28"/>
              <w:szCs w:val="28"/>
              <w:highlight w:val="none"/>
            </w:rPr>
            <w:fldChar w:fldCharType="separate"/>
          </w:r>
          <w:r>
            <w:rPr>
              <w:rFonts w:hint="eastAsia" w:ascii="宋体" w:hAnsi="宋体" w:eastAsia="宋体" w:cs="宋体"/>
              <w:b/>
              <w:sz w:val="28"/>
              <w:szCs w:val="28"/>
              <w:highlight w:val="none"/>
            </w:rPr>
            <w:t>23</w:t>
          </w:r>
          <w:r>
            <w:rPr>
              <w:rFonts w:hint="eastAsia" w:ascii="宋体" w:hAnsi="宋体" w:eastAsia="宋体" w:cs="宋体"/>
              <w:b/>
              <w:sz w:val="28"/>
              <w:szCs w:val="28"/>
              <w:highlight w:val="none"/>
            </w:rPr>
            <w:fldChar w:fldCharType="end"/>
          </w:r>
          <w:r>
            <w:rPr>
              <w:rFonts w:hint="eastAsia" w:ascii="宋体" w:hAnsi="宋体" w:eastAsia="宋体" w:cs="宋体"/>
              <w:b/>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_Toc11569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6.1</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除尘系统选用</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_Toc11569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23</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_Toc23085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6.2</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除尘系统设计</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_Toc23085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25</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_Toc16644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6.3</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除尘器技术参数</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_Toc16644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28</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_Toc22094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6.4</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性能要求</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_Toc22094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29</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_Toc16244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6.6</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输灰方式</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_Toc16244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30</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_Toc13735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6.7</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管网分配</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_Toc13735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31</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_Toc30733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6.8</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除尘系统设备供货清单</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_Toc30733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33</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20"/>
            <w:tabs>
              <w:tab w:val="right" w:leader="dot" w:pos="8306"/>
            </w:tabs>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_Toc21517 </w:instrText>
          </w:r>
          <w:r>
            <w:rPr>
              <w:rFonts w:hint="eastAsia" w:ascii="宋体" w:hAnsi="宋体" w:eastAsia="宋体" w:cs="宋体"/>
              <w:sz w:val="28"/>
              <w:szCs w:val="28"/>
              <w:highlight w:val="none"/>
            </w:rPr>
            <w:fldChar w:fldCharType="separate"/>
          </w:r>
          <w:r>
            <w:rPr>
              <w:rFonts w:hint="eastAsia" w:ascii="宋体" w:hAnsi="宋体" w:eastAsia="宋体" w:cs="宋体"/>
              <w:bCs/>
              <w:kern w:val="0"/>
              <w:sz w:val="28"/>
              <w:szCs w:val="28"/>
              <w:highlight w:val="none"/>
              <w:lang w:val="en-US" w:eastAsia="zh-CN" w:bidi="ar-SA"/>
            </w:rPr>
            <w:t>6.9</w:t>
          </w:r>
          <w:r>
            <w:rPr>
              <w:rFonts w:hint="eastAsia" w:ascii="宋体" w:hAnsi="宋体" w:eastAsia="宋体" w:cs="宋体"/>
              <w:kern w:val="0"/>
              <w:sz w:val="28"/>
              <w:szCs w:val="28"/>
              <w:highlight w:val="none"/>
              <w:lang w:val="en-US" w:eastAsia="zh-CN"/>
            </w:rPr>
            <w:t xml:space="preserve">. </w:t>
          </w:r>
          <w:r>
            <w:rPr>
              <w:rFonts w:hint="eastAsia" w:ascii="宋体" w:hAnsi="宋体" w:eastAsia="宋体" w:cs="宋体"/>
              <w:bCs/>
              <w:kern w:val="0"/>
              <w:sz w:val="28"/>
              <w:szCs w:val="28"/>
              <w:highlight w:val="none"/>
              <w:lang w:val="en-US" w:eastAsia="zh-CN" w:bidi="ar-SA"/>
            </w:rPr>
            <w:t>整套系统用电量</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_Toc21517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35</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spacing w:line="360" w:lineRule="auto"/>
            <w:rPr>
              <w:rFonts w:hint="eastAsia" w:ascii="宋体" w:hAnsi="宋体" w:eastAsia="宋体" w:cs="宋体"/>
              <w:b/>
              <w:sz w:val="28"/>
              <w:szCs w:val="28"/>
              <w:highlight w:val="none"/>
              <w:lang w:val="en-US" w:eastAsia="zh-CN"/>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 HYPERLINK \l _Toc18330 </w:instrText>
          </w:r>
          <w:r>
            <w:rPr>
              <w:rFonts w:hint="eastAsia" w:ascii="宋体" w:hAnsi="宋体" w:eastAsia="宋体" w:cs="宋体"/>
              <w:b/>
              <w:sz w:val="28"/>
              <w:szCs w:val="28"/>
              <w:highlight w:val="none"/>
            </w:rPr>
            <w:fldChar w:fldCharType="separate"/>
          </w:r>
          <w:r>
            <w:rPr>
              <w:rFonts w:hint="eastAsia" w:ascii="宋体" w:hAnsi="宋体" w:cs="宋体"/>
              <w:b/>
              <w:sz w:val="28"/>
              <w:szCs w:val="28"/>
              <w:highlight w:val="none"/>
              <w:lang w:val="en-US" w:eastAsia="zh-CN"/>
            </w:rPr>
            <w:t>七</w:t>
          </w:r>
          <w:r>
            <w:rPr>
              <w:rFonts w:hint="eastAsia" w:ascii="宋体" w:hAnsi="宋体" w:eastAsia="宋体" w:cs="宋体"/>
              <w:b/>
              <w:kern w:val="0"/>
              <w:sz w:val="28"/>
              <w:szCs w:val="28"/>
              <w:highlight w:val="none"/>
              <w:lang w:val="en-US" w:eastAsia="zh-CN"/>
            </w:rPr>
            <w:t>、附件及附图</w:t>
          </w:r>
          <w:r>
            <w:rPr>
              <w:rFonts w:hint="eastAsia" w:ascii="宋体" w:hAnsi="宋体" w:eastAsia="宋体" w:cs="宋体"/>
              <w:b/>
              <w:sz w:val="28"/>
              <w:szCs w:val="28"/>
              <w:highlight w:val="none"/>
            </w:rPr>
            <w:tab/>
          </w:r>
          <w:r>
            <w:rPr>
              <w:rFonts w:hint="eastAsia" w:ascii="宋体" w:hAnsi="宋体" w:cs="宋体"/>
              <w:b/>
              <w:sz w:val="28"/>
              <w:szCs w:val="28"/>
              <w:highlight w:val="none"/>
              <w:lang w:val="en-US" w:eastAsia="zh-CN"/>
            </w:rPr>
            <w:t>4</w:t>
          </w:r>
          <w:r>
            <w:rPr>
              <w:rFonts w:hint="eastAsia" w:ascii="宋体" w:hAnsi="宋体" w:eastAsia="宋体" w:cs="宋体"/>
              <w:b/>
              <w:sz w:val="28"/>
              <w:szCs w:val="28"/>
              <w:highlight w:val="none"/>
            </w:rPr>
            <w:fldChar w:fldCharType="end"/>
          </w:r>
          <w:r>
            <w:rPr>
              <w:rFonts w:hint="eastAsia" w:ascii="宋体" w:hAnsi="宋体" w:cs="宋体"/>
              <w:b/>
              <w:sz w:val="28"/>
              <w:szCs w:val="28"/>
              <w:highlight w:val="none"/>
              <w:lang w:val="en-US" w:eastAsia="zh-CN"/>
            </w:rPr>
            <w:t>3</w:t>
          </w:r>
        </w:p>
        <w:p>
          <w:pPr>
            <w:pStyle w:val="20"/>
            <w:tabs>
              <w:tab w:val="right" w:leader="dot" w:pos="8306"/>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_Toc4356 </w:instrText>
          </w:r>
          <w:r>
            <w:rPr>
              <w:rFonts w:hint="eastAsia" w:ascii="宋体" w:hAnsi="宋体" w:eastAsia="宋体" w:cs="宋体"/>
              <w:sz w:val="28"/>
              <w:szCs w:val="28"/>
              <w:highlight w:val="none"/>
            </w:rPr>
            <w:fldChar w:fldCharType="separate"/>
          </w:r>
          <w:r>
            <w:rPr>
              <w:rFonts w:hint="eastAsia" w:ascii="宋体" w:hAnsi="宋体" w:cs="宋体"/>
              <w:sz w:val="28"/>
              <w:szCs w:val="28"/>
              <w:highlight w:val="none"/>
              <w:lang w:val="en-US" w:eastAsia="zh-CN"/>
            </w:rPr>
            <w:t>7</w:t>
          </w:r>
          <w:r>
            <w:rPr>
              <w:rFonts w:hint="eastAsia" w:ascii="宋体" w:hAnsi="宋体" w:eastAsia="宋体" w:cs="宋体"/>
              <w:bCs/>
              <w:kern w:val="0"/>
              <w:sz w:val="28"/>
              <w:szCs w:val="28"/>
              <w:highlight w:val="none"/>
              <w:lang w:val="en-US" w:eastAsia="zh-CN" w:bidi="ar-SA"/>
            </w:rPr>
            <w:t>.1. 评审会专家意见</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4</w:t>
          </w:r>
          <w:r>
            <w:rPr>
              <w:rFonts w:hint="eastAsia" w:ascii="宋体" w:hAnsi="宋体" w:eastAsia="宋体" w:cs="宋体"/>
              <w:sz w:val="28"/>
              <w:szCs w:val="28"/>
              <w:highlight w:val="none"/>
            </w:rPr>
            <w:fldChar w:fldCharType="end"/>
          </w:r>
          <w:r>
            <w:rPr>
              <w:rFonts w:hint="eastAsia" w:ascii="宋体" w:hAnsi="宋体" w:cs="宋体"/>
              <w:sz w:val="28"/>
              <w:szCs w:val="28"/>
              <w:highlight w:val="none"/>
              <w:lang w:val="en-US" w:eastAsia="zh-CN"/>
            </w:rPr>
            <w:t>3</w:t>
          </w:r>
        </w:p>
        <w:p>
          <w:pPr>
            <w:pStyle w:val="20"/>
            <w:tabs>
              <w:tab w:val="right" w:leader="dot" w:pos="8306"/>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_Toc1700 </w:instrText>
          </w:r>
          <w:r>
            <w:rPr>
              <w:rFonts w:hint="eastAsia" w:ascii="宋体" w:hAnsi="宋体" w:eastAsia="宋体" w:cs="宋体"/>
              <w:sz w:val="28"/>
              <w:szCs w:val="28"/>
              <w:highlight w:val="none"/>
            </w:rPr>
            <w:fldChar w:fldCharType="separate"/>
          </w:r>
          <w:r>
            <w:rPr>
              <w:rFonts w:hint="eastAsia" w:ascii="宋体" w:hAnsi="宋体" w:cs="宋体"/>
              <w:sz w:val="28"/>
              <w:szCs w:val="28"/>
              <w:highlight w:val="none"/>
              <w:lang w:val="en-US" w:eastAsia="zh-CN"/>
            </w:rPr>
            <w:t>7</w:t>
          </w:r>
          <w:r>
            <w:rPr>
              <w:rFonts w:hint="eastAsia" w:ascii="宋体" w:hAnsi="宋体" w:eastAsia="宋体" w:cs="宋体"/>
              <w:bCs/>
              <w:kern w:val="0"/>
              <w:sz w:val="28"/>
              <w:szCs w:val="28"/>
              <w:highlight w:val="none"/>
              <w:lang w:val="en-US" w:eastAsia="zh-CN" w:bidi="ar-SA"/>
            </w:rPr>
            <w:t>.2. 项目环评批复</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4</w:t>
          </w:r>
          <w:r>
            <w:rPr>
              <w:rFonts w:hint="eastAsia" w:ascii="宋体" w:hAnsi="宋体" w:eastAsia="宋体" w:cs="宋体"/>
              <w:sz w:val="28"/>
              <w:szCs w:val="28"/>
              <w:highlight w:val="none"/>
            </w:rPr>
            <w:fldChar w:fldCharType="end"/>
          </w:r>
          <w:r>
            <w:rPr>
              <w:rFonts w:hint="eastAsia" w:ascii="宋体" w:hAnsi="宋体" w:cs="宋体"/>
              <w:sz w:val="28"/>
              <w:szCs w:val="28"/>
              <w:highlight w:val="none"/>
              <w:lang w:val="en-US" w:eastAsia="zh-CN"/>
            </w:rPr>
            <w:t>3</w:t>
          </w:r>
        </w:p>
        <w:p>
          <w:pPr>
            <w:pStyle w:val="20"/>
            <w:tabs>
              <w:tab w:val="right" w:leader="dot" w:pos="8306"/>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_Toc20958 </w:instrText>
          </w:r>
          <w:r>
            <w:rPr>
              <w:rFonts w:hint="eastAsia" w:ascii="宋体" w:hAnsi="宋体" w:eastAsia="宋体" w:cs="宋体"/>
              <w:sz w:val="28"/>
              <w:szCs w:val="28"/>
              <w:highlight w:val="none"/>
            </w:rPr>
            <w:fldChar w:fldCharType="separate"/>
          </w:r>
          <w:r>
            <w:rPr>
              <w:rFonts w:hint="eastAsia" w:ascii="宋体" w:hAnsi="宋体" w:cs="宋体"/>
              <w:sz w:val="28"/>
              <w:szCs w:val="28"/>
              <w:highlight w:val="none"/>
              <w:lang w:val="en-US" w:eastAsia="zh-CN"/>
            </w:rPr>
            <w:t>7</w:t>
          </w:r>
          <w:r>
            <w:rPr>
              <w:rFonts w:hint="eastAsia" w:ascii="宋体" w:hAnsi="宋体" w:eastAsia="宋体" w:cs="宋体"/>
              <w:bCs/>
              <w:kern w:val="0"/>
              <w:sz w:val="28"/>
              <w:szCs w:val="28"/>
              <w:highlight w:val="none"/>
              <w:lang w:val="en-US" w:eastAsia="zh-CN" w:bidi="ar-SA"/>
            </w:rPr>
            <w:t>.3. 附图</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4</w:t>
          </w:r>
          <w:r>
            <w:rPr>
              <w:rFonts w:hint="eastAsia" w:ascii="宋体" w:hAnsi="宋体" w:eastAsia="宋体" w:cs="宋体"/>
              <w:sz w:val="28"/>
              <w:szCs w:val="28"/>
              <w:highlight w:val="none"/>
            </w:rPr>
            <w:fldChar w:fldCharType="end"/>
          </w:r>
          <w:r>
            <w:rPr>
              <w:rFonts w:hint="eastAsia" w:ascii="宋体" w:hAnsi="宋体" w:cs="宋体"/>
              <w:sz w:val="28"/>
              <w:szCs w:val="28"/>
              <w:highlight w:val="none"/>
              <w:lang w:val="en-US" w:eastAsia="zh-CN"/>
            </w:rPr>
            <w:t>3</w:t>
          </w:r>
        </w:p>
        <w:p>
          <w:pPr>
            <w:spacing w:line="360" w:lineRule="auto"/>
            <w:rPr>
              <w:highlight w:val="none"/>
            </w:rPr>
          </w:pPr>
          <w:r>
            <w:rPr>
              <w:rFonts w:hint="eastAsia" w:ascii="宋体" w:hAnsi="宋体" w:eastAsia="宋体" w:cs="宋体"/>
              <w:b/>
              <w:sz w:val="28"/>
              <w:szCs w:val="28"/>
              <w:highlight w:val="none"/>
            </w:rPr>
            <w:fldChar w:fldCharType="end"/>
          </w:r>
        </w:p>
      </w:sdtContent>
    </w:sdt>
    <w:p>
      <w:pPr>
        <w:pStyle w:val="2"/>
        <w:keepNext/>
        <w:keepLines/>
        <w:pageBreakBefore w:val="0"/>
        <w:widowControl w:val="0"/>
        <w:kinsoku/>
        <w:wordWrap/>
        <w:overflowPunct/>
        <w:topLinePunct w:val="0"/>
        <w:autoSpaceDE/>
        <w:autoSpaceDN/>
        <w:bidi w:val="0"/>
        <w:adjustRightInd/>
        <w:snapToGrid/>
        <w:spacing w:before="400" w:after="400" w:line="600" w:lineRule="auto"/>
        <w:jc w:val="center"/>
        <w:textAlignment w:val="auto"/>
        <w:rPr>
          <w:rFonts w:hint="eastAsia"/>
          <w:kern w:val="0"/>
          <w:highlight w:val="none"/>
          <w:lang w:val="en-US" w:eastAsia="zh-CN"/>
        </w:rPr>
        <w:sectPr>
          <w:footerReference r:id="rId3" w:type="default"/>
          <w:pgSz w:w="11906" w:h="16838"/>
          <w:pgMar w:top="1440" w:right="1800" w:bottom="1440" w:left="1800" w:header="851" w:footer="992" w:gutter="0"/>
          <w:pgNumType w:fmt="upperRoman" w:start="1"/>
          <w:cols w:space="425" w:num="1"/>
          <w:docGrid w:type="lines" w:linePitch="312" w:charSpace="0"/>
        </w:sectPr>
      </w:pPr>
      <w:bookmarkStart w:id="4" w:name="_Toc12995"/>
    </w:p>
    <w:p>
      <w:pPr>
        <w:pStyle w:val="2"/>
        <w:keepNext/>
        <w:keepLines/>
        <w:pageBreakBefore w:val="0"/>
        <w:widowControl w:val="0"/>
        <w:kinsoku/>
        <w:wordWrap/>
        <w:overflowPunct/>
        <w:topLinePunct w:val="0"/>
        <w:autoSpaceDE/>
        <w:autoSpaceDN/>
        <w:bidi w:val="0"/>
        <w:adjustRightInd/>
        <w:snapToGrid/>
        <w:spacing w:before="400" w:after="400" w:line="600" w:lineRule="auto"/>
        <w:jc w:val="center"/>
        <w:textAlignment w:val="auto"/>
        <w:rPr>
          <w:kern w:val="0"/>
          <w:highlight w:val="none"/>
        </w:rPr>
      </w:pPr>
      <w:r>
        <w:rPr>
          <w:rFonts w:hint="eastAsia"/>
          <w:kern w:val="0"/>
          <w:highlight w:val="none"/>
          <w:lang w:val="en-US" w:eastAsia="zh-CN"/>
        </w:rPr>
        <w:t>一、</w:t>
      </w:r>
      <w:r>
        <w:rPr>
          <w:rFonts w:hint="eastAsia"/>
          <w:kern w:val="0"/>
          <w:highlight w:val="none"/>
        </w:rPr>
        <w:t>项目概述</w:t>
      </w:r>
      <w:bookmarkEnd w:id="0"/>
      <w:bookmarkEnd w:id="1"/>
      <w:bookmarkEnd w:id="2"/>
      <w:bookmarkEnd w:id="3"/>
      <w:bookmarkEnd w:id="4"/>
    </w:p>
    <w:p>
      <w:pPr>
        <w:pStyle w:val="3"/>
        <w:spacing w:before="0" w:after="0" w:line="360" w:lineRule="auto"/>
        <w:rPr>
          <w:rFonts w:hint="eastAsia" w:ascii="宋体" w:hAnsi="宋体" w:eastAsia="宋体"/>
          <w:kern w:val="0"/>
          <w:highlight w:val="none"/>
        </w:rPr>
      </w:pPr>
      <w:bookmarkStart w:id="5" w:name="_Toc13111"/>
      <w:bookmarkStart w:id="6" w:name="_Toc30462"/>
      <w:bookmarkStart w:id="7" w:name="_Toc12919906"/>
      <w:bookmarkStart w:id="8" w:name="_Toc3339"/>
      <w:bookmarkStart w:id="9" w:name="_Toc8285"/>
      <w:bookmarkStart w:id="10" w:name="_Toc27251"/>
      <w:bookmarkStart w:id="11" w:name="_Toc11063"/>
      <w:bookmarkStart w:id="12" w:name="_Toc22889"/>
      <w:bookmarkStart w:id="13" w:name="_Toc17577"/>
      <w:bookmarkStart w:id="14" w:name="_Toc20877"/>
      <w:bookmarkStart w:id="15" w:name="_Toc25852367"/>
      <w:bookmarkStart w:id="16" w:name="_Toc4242"/>
      <w:r>
        <w:rPr>
          <w:rFonts w:hint="eastAsia" w:ascii="宋体" w:hAnsi="宋体" w:eastAsia="宋体"/>
          <w:kern w:val="0"/>
          <w:highlight w:val="none"/>
          <w:lang w:val="en-US" w:eastAsia="zh-CN"/>
        </w:rPr>
        <w:t>1.</w:t>
      </w:r>
      <w:r>
        <w:rPr>
          <w:rFonts w:ascii="宋体" w:hAnsi="宋体" w:eastAsia="宋体"/>
          <w:kern w:val="0"/>
          <w:highlight w:val="none"/>
        </w:rPr>
        <w:t>1. 项目基本情况</w:t>
      </w:r>
      <w:bookmarkEnd w:id="5"/>
      <w:bookmarkEnd w:id="6"/>
      <w:bookmarkEnd w:id="7"/>
      <w:bookmarkEnd w:id="8"/>
      <w:bookmarkEnd w:id="9"/>
      <w:bookmarkEnd w:id="10"/>
      <w:bookmarkEnd w:id="11"/>
      <w:bookmarkEnd w:id="12"/>
      <w:bookmarkEnd w:id="13"/>
      <w:bookmarkEnd w:id="14"/>
      <w:bookmarkEnd w:id="15"/>
      <w:bookmarkEnd w:id="16"/>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color w:val="000000"/>
          <w:kern w:val="0"/>
          <w:sz w:val="28"/>
          <w:szCs w:val="28"/>
          <w:highlight w:val="none"/>
        </w:rPr>
        <w:t>1）项</w:t>
      </w:r>
      <w:r>
        <w:rPr>
          <w:rFonts w:hint="eastAsia" w:ascii="宋体" w:hAnsi="宋体" w:eastAsia="宋体" w:cs="宋体"/>
          <w:bCs/>
          <w:sz w:val="28"/>
          <w:szCs w:val="28"/>
          <w:highlight w:val="none"/>
        </w:rPr>
        <w:t>目名称：黄石市建筑材料循环利用项目</w:t>
      </w:r>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bCs/>
          <w:sz w:val="28"/>
          <w:szCs w:val="28"/>
          <w:highlight w:val="none"/>
        </w:rPr>
        <w:t>2）建设单位：黄石市环投再生建材科技有限公司</w:t>
      </w:r>
    </w:p>
    <w:p>
      <w:pPr>
        <w:widowControl/>
        <w:spacing w:line="360" w:lineRule="auto"/>
        <w:ind w:firstLine="560" w:firstLineChars="200"/>
        <w:jc w:val="left"/>
        <w:textAlignment w:val="baseline"/>
        <w:rPr>
          <w:rFonts w:hint="eastAsia" w:ascii="宋体" w:hAnsi="宋体" w:eastAsia="宋体" w:cs="宋体"/>
          <w:color w:val="000000"/>
          <w:kern w:val="0"/>
          <w:sz w:val="28"/>
          <w:szCs w:val="28"/>
          <w:highlight w:val="none"/>
        </w:rPr>
      </w:pPr>
      <w:r>
        <w:rPr>
          <w:rFonts w:hint="eastAsia" w:ascii="宋体" w:hAnsi="宋体" w:eastAsia="宋体" w:cs="宋体"/>
          <w:bCs/>
          <w:sz w:val="28"/>
          <w:szCs w:val="28"/>
          <w:highlight w:val="none"/>
        </w:rPr>
        <w:t>3）项目地</w:t>
      </w:r>
      <w:r>
        <w:rPr>
          <w:rFonts w:hint="eastAsia" w:ascii="宋体" w:hAnsi="宋体" w:eastAsia="宋体" w:cs="宋体"/>
          <w:color w:val="000000"/>
          <w:kern w:val="0"/>
          <w:sz w:val="28"/>
          <w:szCs w:val="28"/>
          <w:highlight w:val="none"/>
        </w:rPr>
        <w:t>点：黄石市下陆区明家湾附近，长乐循环经济园内</w:t>
      </w:r>
    </w:p>
    <w:p>
      <w:pPr>
        <w:widowControl/>
        <w:spacing w:line="360" w:lineRule="auto"/>
        <w:ind w:firstLine="420" w:firstLineChars="200"/>
        <w:jc w:val="left"/>
        <w:textAlignment w:val="baseline"/>
        <w:rPr>
          <w:rFonts w:hint="eastAsia" w:ascii="宋体" w:hAnsi="宋体" w:eastAsia="宋体" w:cs="宋体"/>
          <w:color w:val="000000"/>
          <w:kern w:val="0"/>
          <w:sz w:val="28"/>
          <w:szCs w:val="28"/>
          <w:highlight w:val="none"/>
        </w:rPr>
      </w:pPr>
      <w:r>
        <w:rPr>
          <w:highlight w:val="none"/>
        </w:rPr>
        <w:drawing>
          <wp:inline distT="0" distB="0" distL="114300" distR="114300">
            <wp:extent cx="5039995" cy="3277235"/>
            <wp:effectExtent l="0" t="0" r="4445" b="14605"/>
            <wp:docPr id="1" name="图片 1" descr="C:/Users/40453/AppData/Local/Temp/picturecompress_2021070912424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40453/AppData/Local/Temp/picturecompress_20210709124246/output_1.jpgoutput_1"/>
                    <pic:cNvPicPr>
                      <a:picLocks noChangeAspect="1"/>
                    </pic:cNvPicPr>
                  </pic:nvPicPr>
                  <pic:blipFill>
                    <a:blip r:embed="rId6"/>
                    <a:stretch>
                      <a:fillRect/>
                    </a:stretch>
                  </pic:blipFill>
                  <pic:spPr>
                    <a:xfrm>
                      <a:off x="0" y="0"/>
                      <a:ext cx="5039995" cy="3277235"/>
                    </a:xfrm>
                    <a:prstGeom prst="rect">
                      <a:avLst/>
                    </a:prstGeom>
                  </pic:spPr>
                </pic:pic>
              </a:graphicData>
            </a:graphic>
          </wp:inline>
        </w:drawing>
      </w:r>
    </w:p>
    <w:p>
      <w:pPr>
        <w:pStyle w:val="3"/>
        <w:spacing w:before="0" w:after="0" w:line="360" w:lineRule="auto"/>
        <w:rPr>
          <w:rFonts w:hint="eastAsia" w:ascii="宋体" w:hAnsi="宋体" w:eastAsia="宋体"/>
          <w:kern w:val="0"/>
          <w:highlight w:val="none"/>
        </w:rPr>
      </w:pPr>
      <w:bookmarkStart w:id="17" w:name="_Toc753"/>
      <w:bookmarkStart w:id="18" w:name="_Toc7761"/>
      <w:bookmarkStart w:id="19" w:name="_Toc16472"/>
      <w:bookmarkStart w:id="20" w:name="_Toc25386"/>
      <w:bookmarkStart w:id="21" w:name="_Toc29862"/>
      <w:bookmarkStart w:id="22" w:name="_Toc18834"/>
      <w:bookmarkStart w:id="23" w:name="_Toc29230"/>
      <w:bookmarkStart w:id="24" w:name="_Toc18882"/>
      <w:bookmarkStart w:id="25" w:name="_Toc12919907"/>
      <w:bookmarkStart w:id="26" w:name="_Toc4973"/>
      <w:bookmarkStart w:id="27" w:name="_Toc25852368"/>
      <w:bookmarkStart w:id="28" w:name="_Toc693"/>
      <w:r>
        <w:rPr>
          <w:rFonts w:hint="eastAsia" w:ascii="宋体" w:hAnsi="宋体" w:eastAsia="宋体"/>
          <w:kern w:val="0"/>
          <w:highlight w:val="none"/>
          <w:lang w:val="en-US" w:eastAsia="zh-CN"/>
        </w:rPr>
        <w:t>1.</w:t>
      </w:r>
      <w:r>
        <w:rPr>
          <w:rFonts w:ascii="宋体" w:hAnsi="宋体" w:eastAsia="宋体"/>
          <w:kern w:val="0"/>
          <w:highlight w:val="none"/>
        </w:rPr>
        <w:t>2. 项目主要功能</w:t>
      </w:r>
      <w:bookmarkEnd w:id="17"/>
      <w:bookmarkEnd w:id="18"/>
      <w:bookmarkEnd w:id="19"/>
      <w:bookmarkEnd w:id="20"/>
      <w:bookmarkEnd w:id="21"/>
      <w:bookmarkEnd w:id="22"/>
      <w:bookmarkEnd w:id="23"/>
      <w:bookmarkEnd w:id="24"/>
      <w:bookmarkEnd w:id="25"/>
      <w:bookmarkEnd w:id="26"/>
      <w:bookmarkEnd w:id="27"/>
      <w:bookmarkEnd w:id="28"/>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bCs/>
          <w:sz w:val="28"/>
          <w:szCs w:val="28"/>
          <w:highlight w:val="none"/>
        </w:rPr>
        <w:t>本项目建筑垃圾处理规模为30万吨/年，共设置一条骨料生产线、一条再生混凝土制品生产线，以及一条水稳拌合站生产线。主要以建筑垃圾再生骨料、砂石、水泥等为原料，生产混凝土墙砖、地砖、生态透水砖、市政用砖、生态护坡砖、路沿石、草坪砖、机场及码头专用砖等各种混凝土制品。</w:t>
      </w:r>
      <w:r>
        <w:rPr>
          <w:rFonts w:hint="eastAsia" w:ascii="宋体" w:hAnsi="宋体" w:eastAsia="宋体" w:cs="宋体"/>
          <w:b/>
          <w:bCs/>
          <w:sz w:val="28"/>
          <w:szCs w:val="28"/>
          <w:highlight w:val="none"/>
          <w:lang w:val="en-US" w:eastAsia="zh-CN"/>
        </w:rPr>
        <w:t xml:space="preserve"> </w:t>
      </w:r>
    </w:p>
    <w:p>
      <w:pPr>
        <w:pStyle w:val="3"/>
        <w:spacing w:before="0" w:after="0" w:line="360" w:lineRule="auto"/>
        <w:rPr>
          <w:rFonts w:ascii="宋体" w:hAnsi="宋体" w:eastAsia="宋体"/>
          <w:kern w:val="0"/>
          <w:highlight w:val="none"/>
        </w:rPr>
      </w:pPr>
      <w:bookmarkStart w:id="29" w:name="_Toc14420"/>
      <w:bookmarkStart w:id="30" w:name="_Toc16301"/>
      <w:bookmarkStart w:id="31" w:name="_Toc24145"/>
      <w:bookmarkStart w:id="32" w:name="_Toc7011"/>
      <w:bookmarkStart w:id="33" w:name="_Toc16951"/>
      <w:bookmarkStart w:id="34" w:name="_Toc23377"/>
      <w:bookmarkStart w:id="35" w:name="_Toc25417"/>
      <w:bookmarkStart w:id="36" w:name="_Toc25852369"/>
      <w:bookmarkStart w:id="37" w:name="_Toc11528"/>
      <w:bookmarkStart w:id="38" w:name="_Toc25036"/>
      <w:bookmarkStart w:id="39" w:name="_Toc26757"/>
      <w:bookmarkStart w:id="40" w:name="_Toc12919908"/>
      <w:r>
        <w:rPr>
          <w:rFonts w:hint="eastAsia" w:ascii="宋体" w:hAnsi="宋体" w:eastAsia="宋体"/>
          <w:kern w:val="0"/>
          <w:highlight w:val="none"/>
          <w:lang w:val="en-US" w:eastAsia="zh-CN"/>
        </w:rPr>
        <w:t>1.</w:t>
      </w:r>
      <w:r>
        <w:rPr>
          <w:rFonts w:ascii="宋体" w:hAnsi="宋体" w:eastAsia="宋体"/>
          <w:kern w:val="0"/>
          <w:highlight w:val="none"/>
        </w:rPr>
        <w:t>3.</w:t>
      </w:r>
      <w:r>
        <w:rPr>
          <w:rFonts w:hint="eastAsia" w:ascii="宋体" w:hAnsi="宋体" w:eastAsia="宋体"/>
          <w:kern w:val="0"/>
          <w:highlight w:val="none"/>
        </w:rPr>
        <w:t xml:space="preserve"> </w:t>
      </w:r>
      <w:r>
        <w:rPr>
          <w:rFonts w:ascii="宋体" w:hAnsi="宋体" w:eastAsia="宋体"/>
          <w:kern w:val="0"/>
          <w:highlight w:val="none"/>
        </w:rPr>
        <w:t>主要工艺流程</w:t>
      </w:r>
      <w:bookmarkEnd w:id="29"/>
      <w:bookmarkEnd w:id="30"/>
      <w:bookmarkEnd w:id="31"/>
      <w:bookmarkEnd w:id="32"/>
      <w:bookmarkEnd w:id="33"/>
      <w:bookmarkEnd w:id="34"/>
      <w:bookmarkEnd w:id="35"/>
      <w:bookmarkEnd w:id="36"/>
      <w:bookmarkEnd w:id="37"/>
      <w:bookmarkEnd w:id="38"/>
      <w:bookmarkEnd w:id="39"/>
      <w:bookmarkEnd w:id="40"/>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rPr>
      </w:pPr>
      <w:r>
        <w:rPr>
          <w:rFonts w:hint="eastAsia" w:ascii="宋体" w:hAnsi="宋体" w:eastAsia="宋体" w:cs="宋体"/>
          <w:bCs/>
          <w:sz w:val="28"/>
          <w:szCs w:val="28"/>
          <w:highlight w:val="none"/>
        </w:rPr>
        <w:t>项目采用的主体工艺为通过对建筑垃圾分级破碎、</w:t>
      </w:r>
      <w:r>
        <w:rPr>
          <w:rFonts w:hint="eastAsia" w:ascii="宋体" w:hAnsi="宋体" w:eastAsia="宋体" w:cs="宋体"/>
          <w:bCs/>
          <w:sz w:val="28"/>
          <w:szCs w:val="28"/>
          <w:highlight w:val="none"/>
          <w:lang w:val="en-US" w:eastAsia="zh-CN"/>
        </w:rPr>
        <w:t>浮选</w:t>
      </w:r>
      <w:r>
        <w:rPr>
          <w:rFonts w:hint="eastAsia" w:ascii="宋体" w:hAnsi="宋体" w:eastAsia="宋体" w:cs="宋体"/>
          <w:bCs/>
          <w:sz w:val="28"/>
          <w:szCs w:val="28"/>
          <w:highlight w:val="none"/>
        </w:rPr>
        <w:t>、磁选、筛分，回收废旧钢铁、木材等废旧物资，并生产出取代天然砂石的粗细骨料及微粉</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rPr>
        <w:t>再生及骨料及微粉料</w:t>
      </w:r>
      <w:r>
        <w:rPr>
          <w:rFonts w:hint="eastAsia" w:ascii="宋体" w:hAnsi="宋体" w:eastAsia="宋体" w:cs="宋体"/>
          <w:bCs/>
          <w:sz w:val="28"/>
          <w:szCs w:val="28"/>
          <w:highlight w:val="none"/>
          <w:lang w:val="en-US" w:eastAsia="zh-CN"/>
        </w:rPr>
        <w:t>由皮带转运系统送往</w:t>
      </w:r>
      <w:r>
        <w:rPr>
          <w:rFonts w:hint="eastAsia" w:ascii="宋体" w:hAnsi="宋体" w:eastAsia="宋体" w:cs="宋体"/>
          <w:bCs/>
          <w:sz w:val="28"/>
          <w:szCs w:val="28"/>
          <w:highlight w:val="none"/>
        </w:rPr>
        <w:t>制砖车间</w:t>
      </w:r>
      <w:r>
        <w:rPr>
          <w:rFonts w:hint="eastAsia" w:ascii="宋体" w:hAnsi="宋体" w:eastAsia="宋体" w:cs="宋体"/>
          <w:bCs/>
          <w:sz w:val="28"/>
          <w:szCs w:val="28"/>
          <w:highlight w:val="none"/>
          <w:lang w:val="en-US" w:eastAsia="zh-CN"/>
        </w:rPr>
        <w:t>及水稳车间。具体流程如下：</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rPr>
        <w:t>1）建筑垃圾原料预处理</w:t>
      </w:r>
      <w:r>
        <w:rPr>
          <w:rFonts w:hint="eastAsia" w:ascii="宋体" w:hAnsi="宋体" w:eastAsia="宋体" w:cs="宋体"/>
          <w:bCs/>
          <w:sz w:val="28"/>
          <w:szCs w:val="28"/>
          <w:highlight w:val="none"/>
          <w:lang w:val="en-US" w:eastAsia="zh-CN"/>
        </w:rPr>
        <w:t>系统</w:t>
      </w:r>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bCs/>
          <w:sz w:val="28"/>
          <w:szCs w:val="28"/>
          <w:highlight w:val="none"/>
        </w:rPr>
        <w:t>大块建筑垃圾原料预先经过液压破碎锤处理，在达到小于颚式破碎机（铸造）进料口尺寸后，由装载机送至接料槽。</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rPr>
        <w:t>2）破碎筛分</w:t>
      </w:r>
      <w:r>
        <w:rPr>
          <w:rFonts w:hint="eastAsia" w:ascii="宋体" w:hAnsi="宋体" w:eastAsia="宋体" w:cs="宋体"/>
          <w:bCs/>
          <w:sz w:val="28"/>
          <w:szCs w:val="28"/>
          <w:highlight w:val="none"/>
          <w:lang w:val="en-US" w:eastAsia="zh-CN"/>
        </w:rPr>
        <w:t>系统</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mc:AlternateContent>
          <mc:Choice Requires="wps">
            <w:drawing>
              <wp:anchor distT="0" distB="0" distL="114300" distR="114300" simplePos="0" relativeHeight="252174336" behindDoc="0" locked="0" layoutInCell="1" allowOverlap="1">
                <wp:simplePos x="0" y="0"/>
                <wp:positionH relativeFrom="column">
                  <wp:posOffset>3583305</wp:posOffset>
                </wp:positionH>
                <wp:positionV relativeFrom="paragraph">
                  <wp:posOffset>46355</wp:posOffset>
                </wp:positionV>
                <wp:extent cx="911860" cy="397510"/>
                <wp:effectExtent l="6350" t="6350" r="11430" b="7620"/>
                <wp:wrapNone/>
                <wp:docPr id="13" name="矩形 13"/>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渣土外运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2.15pt;margin-top:3.65pt;height:31.3pt;width:71.8pt;z-index:252174336;v-text-anchor:middle;mso-width-relative:page;mso-height-relative:page;" fillcolor="#FFFFFF [3201]" filled="t" stroked="t" coordsize="21600,21600" o:gfxdata="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PjKBWXXAAAACAEAAA8AAAAAAAAAAQAgAAAAIgAAAGRycy9k&#10;b3ducmV2LnhtbFBLAQIUABQAAAAIAIdO4kBu6oVydQIAAAAFAAAOAAAAAAAAAAEAIAAAACYBAABk&#10;cnMvZTJvRG9jLnhtbFBLBQYAAAAABgAGAFkBAAAN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渣土外运</w:t>
                      </w:r>
                    </w:p>
                  </w:txbxContent>
                </v:textbox>
              </v:rect>
            </w:pict>
          </mc:Fallback>
        </mc:AlternateConten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mc:AlternateContent>
          <mc:Choice Requires="wps">
            <w:drawing>
              <wp:anchor distT="0" distB="0" distL="114300" distR="114300" simplePos="0" relativeHeight="252173312" behindDoc="0" locked="0" layoutInCell="1" allowOverlap="1">
                <wp:simplePos x="0" y="0"/>
                <wp:positionH relativeFrom="column">
                  <wp:posOffset>4041775</wp:posOffset>
                </wp:positionH>
                <wp:positionV relativeFrom="paragraph">
                  <wp:posOffset>149860</wp:posOffset>
                </wp:positionV>
                <wp:extent cx="5080" cy="377190"/>
                <wp:effectExtent l="52705" t="0" r="64135" b="3810"/>
                <wp:wrapNone/>
                <wp:docPr id="25" name="直接箭头连接符 25"/>
                <wp:cNvGraphicFramePr/>
                <a:graphic xmlns:a="http://schemas.openxmlformats.org/drawingml/2006/main">
                  <a:graphicData uri="http://schemas.microsoft.com/office/word/2010/wordprocessingShape">
                    <wps:wsp>
                      <wps:cNvCnPr>
                        <a:stCxn id="30" idx="0"/>
                      </wps:cNvCnPr>
                      <wps:spPr>
                        <a:xfrm flipH="1" flipV="1">
                          <a:off x="4906010" y="7087870"/>
                          <a:ext cx="5080" cy="37719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 y;margin-left:318.25pt;margin-top:11.8pt;height:29.7pt;width:0.4pt;z-index:252173312;mso-width-relative:page;mso-height-relative:page;" filled="f" stroked="t" coordsize="21600,21600" o:gfxdata="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FdKINgAAAAJAQAADwAAAAAAAAABACAAAAAiAAAAZHJzL2Rv&#10;d25yZXYueG1sUEsBAhQAFAAAAAgAh07iQJwfABQ6AgAAPAQAAA4AAAAAAAAAAQAgAAAAJwEAAGRy&#10;cy9lMm9Eb2MueG1sUEsFBgAAAAAGAAYAWQEAANMFAAAAAA==&#10;">
                <v:fill on="f" focussize="0,0"/>
                <v:stroke weight="1.5pt" color="#000000 [3200]" miterlimit="8" joinstyle="miter" endarrow="open"/>
                <v:imagedata o:title=""/>
                <o:lock v:ext="edit" aspectratio="f"/>
              </v:shape>
            </w:pict>
          </mc:Fallback>
        </mc:AlternateConten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6384" behindDoc="0" locked="0" layoutInCell="1" allowOverlap="1">
                <wp:simplePos x="0" y="0"/>
                <wp:positionH relativeFrom="column">
                  <wp:posOffset>883285</wp:posOffset>
                </wp:positionH>
                <wp:positionV relativeFrom="paragraph">
                  <wp:posOffset>250190</wp:posOffset>
                </wp:positionV>
                <wp:extent cx="911860" cy="397510"/>
                <wp:effectExtent l="6350" t="6350" r="11430" b="7620"/>
                <wp:wrapNone/>
                <wp:docPr id="28" name="矩形 28"/>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水洗磁选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55pt;margin-top:19.7pt;height:31.3pt;width:71.8pt;z-index:252176384;v-text-anchor:middle;mso-width-relative:page;mso-height-relative:page;" fillcolor="#FFFFFF [3201]" filled="t" stroked="t" coordsize="21600,21600" o:gfxdata="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Clb1mzWAAAACgEAAA8AAAAAAAAAAQAgAAAAIgAAAGRycy9k&#10;b3ducmV2LnhtbFBLAQIUABQAAAAIAIdO4kBChAoBdgIAAAAFAAAOAAAAAAAAAAEAIAAAACUBAABk&#10;cnMvZTJvRG9jLnhtbFBLBQYAAAAABgAGAFkBAAAN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水洗磁选</w:t>
                      </w:r>
                    </w:p>
                  </w:txbxContent>
                </v:textbox>
              </v:rect>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2288" behindDoc="0" locked="0" layoutInCell="1" allowOverlap="1">
                <wp:simplePos x="0" y="0"/>
                <wp:positionH relativeFrom="column">
                  <wp:posOffset>2228215</wp:posOffset>
                </wp:positionH>
                <wp:positionV relativeFrom="paragraph">
                  <wp:posOffset>248920</wp:posOffset>
                </wp:positionV>
                <wp:extent cx="911860" cy="397510"/>
                <wp:effectExtent l="6350" t="6350" r="11430" b="7620"/>
                <wp:wrapNone/>
                <wp:docPr id="29" name="矩形 29"/>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2号振动筛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45pt;margin-top:19.6pt;height:31.3pt;width:71.8pt;z-index:252172288;v-text-anchor:middle;mso-width-relative:page;mso-height-relative:page;" fillcolor="#FFFFFF [3201]" filled="t" stroked="t" coordsize="21600,21600" o:gfxdata="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YjCjCtcAAAAKAQAADwAAAAAAAAABACAAAAAiAAAAZHJz&#10;L2Rvd25yZXYueG1sUEsBAhQAFAAAAAgAh07iQFzwCLV3AgAAAAUAAA4AAAAAAAAAAQAgAAAAJgEA&#10;AGRycy9lMm9Eb2MueG1sUEsFBgAAAAAGAAYAWQEAAA8GA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2号振动筛</w:t>
                      </w:r>
                    </w:p>
                  </w:txbxContent>
                </v:textbox>
              </v:rect>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0240" behindDoc="0" locked="0" layoutInCell="1" allowOverlap="1">
                <wp:simplePos x="0" y="0"/>
                <wp:positionH relativeFrom="column">
                  <wp:posOffset>3590925</wp:posOffset>
                </wp:positionH>
                <wp:positionV relativeFrom="paragraph">
                  <wp:posOffset>229870</wp:posOffset>
                </wp:positionV>
                <wp:extent cx="911860" cy="397510"/>
                <wp:effectExtent l="6350" t="6350" r="11430" b="7620"/>
                <wp:wrapNone/>
                <wp:docPr id="30" name="矩形 30"/>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鄂式破碎机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2.75pt;margin-top:18.1pt;height:31.3pt;width:71.8pt;z-index:252170240;v-text-anchor:middle;mso-width-relative:page;mso-height-relative:page;" fillcolor="#FFFFFF [3201]" filled="t" stroked="t" coordsize="21600,21600" o:gfxdata="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7HYJ+2AAAAAkBAAAPAAAAAAAAAAEAIAAAACIAAABkcnMv&#10;ZG93bnJldi54bWxQSwECFAAUAAAACACHTuJAYgj1W3UCAAAABQAADgAAAAAAAAABACAAAAAnAQAA&#10;ZHJzL2Uyb0RvYy54bWxQSwUGAAAAAAYABgBZAQAADgY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鄂式破碎机</w:t>
                      </w:r>
                    </w:p>
                  </w:txbxContent>
                </v:textbox>
              </v:rect>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68192" behindDoc="0" locked="0" layoutInCell="1" allowOverlap="1">
                <wp:simplePos x="0" y="0"/>
                <wp:positionH relativeFrom="column">
                  <wp:posOffset>4829810</wp:posOffset>
                </wp:positionH>
                <wp:positionV relativeFrom="paragraph">
                  <wp:posOffset>227965</wp:posOffset>
                </wp:positionV>
                <wp:extent cx="911860" cy="397510"/>
                <wp:effectExtent l="6350" t="6350" r="11430" b="7620"/>
                <wp:wrapNone/>
                <wp:docPr id="31" name="矩形 31"/>
                <wp:cNvGraphicFramePr/>
                <a:graphic xmlns:a="http://schemas.openxmlformats.org/drawingml/2006/main">
                  <a:graphicData uri="http://schemas.microsoft.com/office/word/2010/wordprocessingShape">
                    <wps:wsp>
                      <wps:cNvSpPr/>
                      <wps:spPr>
                        <a:xfrm>
                          <a:off x="5539105" y="6412865"/>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default"/>
                                <w:lang w:val="en-US" w:eastAsia="zh-CN"/>
                              </w:rPr>
                              <w:t>振动给料机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0.3pt;margin-top:17.95pt;height:31.3pt;width:71.8pt;z-index:252168192;v-text-anchor:middle;mso-width-relative:page;mso-height-relative:page;" fillcolor="#FFFFFF [3201]" filled="t" stroked="t" coordsize="21600,21600" o:gfxdata="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FQ9MuPXAAAACQEAAA8AAAAAAAAA&#10;AQAgAAAAIgAAAGRycy9kb3ducmV2LnhtbFBLAQIUABQAAAAIAIdO4kAqL3aThAIAAAwFAAAOAAAA&#10;AAAAAAEAIAAAACYBAABkcnMvZTJvRG9jLnhtbFBLBQYAAAAABgAGAFkBAAAc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default"/>
                          <w:lang w:val="en-US" w:eastAsia="zh-CN"/>
                        </w:rPr>
                        <w:t>振动给料机</w:t>
                      </w:r>
                    </w:p>
                  </w:txbxContent>
                </v:textbox>
              </v:rect>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69216" behindDoc="0" locked="0" layoutInCell="1" allowOverlap="1">
                <wp:simplePos x="0" y="0"/>
                <wp:positionH relativeFrom="column">
                  <wp:posOffset>4511040</wp:posOffset>
                </wp:positionH>
                <wp:positionV relativeFrom="paragraph">
                  <wp:posOffset>419735</wp:posOffset>
                </wp:positionV>
                <wp:extent cx="318770" cy="6985"/>
                <wp:effectExtent l="0" t="52070" r="1270" b="62865"/>
                <wp:wrapNone/>
                <wp:docPr id="32" name="直接箭头连接符 32"/>
                <wp:cNvGraphicFramePr/>
                <a:graphic xmlns:a="http://schemas.openxmlformats.org/drawingml/2006/main">
                  <a:graphicData uri="http://schemas.microsoft.com/office/word/2010/wordprocessingShape">
                    <wps:wsp>
                      <wps:cNvCnPr>
                        <a:stCxn id="31" idx="1"/>
                      </wps:cNvCnPr>
                      <wps:spPr>
                        <a:xfrm flipH="1" flipV="1">
                          <a:off x="5539105" y="6611620"/>
                          <a:ext cx="318770" cy="698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 y;margin-left:355.2pt;margin-top:33.05pt;height:0.55pt;width:25.1pt;z-index:252169216;mso-width-relative:page;mso-height-relative:page;" filled="f" stroked="t" coordsize="21600,21600" o:gfxdata="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sL5uDXAAAACQEAAA8AAAAAAAAAAQAgAAAAIgAAAGRycy9kb3du&#10;cmV2LnhtbFBLAQIUABQAAAAIAIdO4kANmqSFOQIAADwEAAAOAAAAAAAAAAEAIAAAACYBAABkcnMv&#10;ZTJvRG9jLnhtbFBLBQYAAAAABgAGAFkBAADRBQAAAAA=&#10;">
                <v:fill on="f" focussize="0,0"/>
                <v:stroke weight="1.5pt" color="#000000 [3200]" miterlimit="8" joinstyle="miter" endarrow="open"/>
                <v:imagedata o:title=""/>
                <o:lock v:ext="edit" aspectratio="f"/>
              </v:shape>
            </w:pict>
          </mc:Fallback>
        </mc:AlternateConten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7408" behindDoc="0" locked="0" layoutInCell="1" allowOverlap="1">
                <wp:simplePos x="0" y="0"/>
                <wp:positionH relativeFrom="column">
                  <wp:posOffset>2684145</wp:posOffset>
                </wp:positionH>
                <wp:positionV relativeFrom="paragraph">
                  <wp:posOffset>250190</wp:posOffset>
                </wp:positionV>
                <wp:extent cx="1905" cy="410845"/>
                <wp:effectExtent l="52705" t="0" r="67310" b="635"/>
                <wp:wrapNone/>
                <wp:docPr id="33" name="直接箭头连接符 33"/>
                <wp:cNvGraphicFramePr/>
                <a:graphic xmlns:a="http://schemas.openxmlformats.org/drawingml/2006/main">
                  <a:graphicData uri="http://schemas.microsoft.com/office/word/2010/wordprocessingShape">
                    <wps:wsp>
                      <wps:cNvCnPr>
                        <a:stCxn id="29" idx="2"/>
                      </wps:cNvCnPr>
                      <wps:spPr>
                        <a:xfrm>
                          <a:off x="3827145" y="7504430"/>
                          <a:ext cx="1905" cy="41084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211.35pt;margin-top:19.7pt;height:32.35pt;width:0.15pt;z-index:252177408;mso-width-relative:page;mso-height-relative:page;" filled="f" stroked="t" coordsize="21600,21600" o:gfxdata="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Ypi41wAAAAoBAAAPAAAAAAAAAAEAIAAAACIAAABkcnMvZG93bnJldi54bWxQSwEC&#10;FAAUAAAACACHTuJAOXHPBy4CAAAoBAAADgAAAAAAAAABACAAAAAmAQAAZHJzL2Uyb0RvYy54bWxQ&#10;SwUGAAAAAAYABgBZAQAAxgU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5360" behindDoc="0" locked="0" layoutInCell="1" allowOverlap="1">
                <wp:simplePos x="0" y="0"/>
                <wp:positionH relativeFrom="column">
                  <wp:posOffset>1801495</wp:posOffset>
                </wp:positionH>
                <wp:positionV relativeFrom="paragraph">
                  <wp:posOffset>68580</wp:posOffset>
                </wp:positionV>
                <wp:extent cx="426720" cy="635"/>
                <wp:effectExtent l="0" t="53340" r="0" b="67945"/>
                <wp:wrapNone/>
                <wp:docPr id="36" name="直接箭头连接符 36"/>
                <wp:cNvGraphicFramePr/>
                <a:graphic xmlns:a="http://schemas.openxmlformats.org/drawingml/2006/main">
                  <a:graphicData uri="http://schemas.microsoft.com/office/word/2010/wordprocessingShape">
                    <wps:wsp>
                      <wps:cNvCnPr/>
                      <wps:spPr>
                        <a:xfrm flipH="1">
                          <a:off x="0" y="0"/>
                          <a:ext cx="426720" cy="63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141.85pt;margin-top:5.4pt;height:0.05pt;width:33.6pt;z-index:252175360;mso-width-relative:page;mso-height-relative:page;" filled="f" stroked="t" coordsize="21600,21600" o:gfxdata="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iNBFDXAAAACQEAAA8A&#10;AAAAAAAAAQAgAAAAIgAAAGRycy9kb3ducmV2LnhtbFBLAQIUABQAAAAIAIdO4kBoG8EPGAIAAP4D&#10;AAAOAAAAAAAAAAEAIAAAACYBAABkcnMvZTJvRG9jLnhtbFBLBQYAAAAABgAGAFkBAACwBQ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1264" behindDoc="0" locked="0" layoutInCell="1" allowOverlap="1">
                <wp:simplePos x="0" y="0"/>
                <wp:positionH relativeFrom="column">
                  <wp:posOffset>3155315</wp:posOffset>
                </wp:positionH>
                <wp:positionV relativeFrom="paragraph">
                  <wp:posOffset>40640</wp:posOffset>
                </wp:positionV>
                <wp:extent cx="426720" cy="635"/>
                <wp:effectExtent l="0" t="53340" r="0" b="67945"/>
                <wp:wrapNone/>
                <wp:docPr id="38" name="直接箭头连接符 38"/>
                <wp:cNvGraphicFramePr/>
                <a:graphic xmlns:a="http://schemas.openxmlformats.org/drawingml/2006/main">
                  <a:graphicData uri="http://schemas.microsoft.com/office/word/2010/wordprocessingShape">
                    <wps:wsp>
                      <wps:cNvCnPr/>
                      <wps:spPr>
                        <a:xfrm flipH="1">
                          <a:off x="0" y="0"/>
                          <a:ext cx="426720" cy="63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248.45pt;margin-top:3.2pt;height:0.05pt;width:33.6pt;z-index:252171264;mso-width-relative:page;mso-height-relative:page;" filled="f" stroked="t" coordsize="21600,21600" o:gfxdata="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2gNrdYAAAAHAQAADwAA&#10;AAAAAAABACAAAAAiAAAAZHJzL2Rvd25yZXYueG1sUEsBAhQAFAAAAAgAh07iQGFKGYsYAgAA/gMA&#10;AA4AAAAAAAAAAQAgAAAAJQEAAGRycy9lMm9Eb2MueG1sUEsFBgAAAAAGAAYAWQEAAK8FAAAAAA==&#10;">
                <v:fill on="f" focussize="0,0"/>
                <v:stroke weight="1.5pt" color="#000000 [3200]" miterlimit="8" joinstyle="miter" endarrow="open"/>
                <v:imagedata o:title=""/>
                <o:lock v:ext="edit" aspectratio="f"/>
              </v:shape>
            </w:pict>
          </mc:Fallback>
        </mc:AlternateConten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5600" behindDoc="0" locked="0" layoutInCell="1" allowOverlap="1">
                <wp:simplePos x="0" y="0"/>
                <wp:positionH relativeFrom="column">
                  <wp:posOffset>-87630</wp:posOffset>
                </wp:positionH>
                <wp:positionV relativeFrom="paragraph">
                  <wp:posOffset>168275</wp:posOffset>
                </wp:positionV>
                <wp:extent cx="496570" cy="1701165"/>
                <wp:effectExtent l="6350" t="6350" r="15240" b="14605"/>
                <wp:wrapNone/>
                <wp:docPr id="39" name="矩形 39"/>
                <wp:cNvGraphicFramePr/>
                <a:graphic xmlns:a="http://schemas.openxmlformats.org/drawingml/2006/main">
                  <a:graphicData uri="http://schemas.microsoft.com/office/word/2010/wordprocessingShape">
                    <wps:wsp>
                      <wps:cNvSpPr/>
                      <wps:spPr>
                        <a:xfrm>
                          <a:off x="1055370" y="7818755"/>
                          <a:ext cx="496570" cy="1701165"/>
                        </a:xfrm>
                        <a:prstGeom prst="rect">
                          <a:avLst/>
                        </a:prstGeom>
                        <a:ln>
                          <a:solidFill>
                            <a:schemeClr val="tx2">
                              <a:lumMod val="50000"/>
                            </a:schemeClr>
                          </a:solidFill>
                        </a:ln>
                      </wps:spPr>
                      <wps:style>
                        <a:lnRef idx="2">
                          <a:schemeClr val="dk1"/>
                        </a:lnRef>
                        <a:fillRef idx="1">
                          <a:schemeClr val="lt1"/>
                        </a:fillRef>
                        <a:effectRef idx="0">
                          <a:schemeClr val="dk1"/>
                        </a:effectRef>
                        <a:fontRef idx="minor">
                          <a:schemeClr val="dk1"/>
                        </a:fontRef>
                      </wps:style>
                      <wps:txbx>
                        <w:txbxContent>
                          <w:p>
                            <w:pPr>
                              <w:jc w:val="center"/>
                              <w:rPr>
                                <w:rFonts w:hint="eastAsia"/>
                                <w:lang w:val="en-US" w:eastAsia="zh-CN"/>
                              </w:rPr>
                            </w:pPr>
                            <w:r>
                              <w:rPr>
                                <w:rFonts w:hint="eastAsia"/>
                                <w:lang w:val="en-US" w:eastAsia="zh-CN"/>
                              </w:rPr>
                              <w:t>骨</w:t>
                            </w:r>
                          </w:p>
                          <w:p>
                            <w:pPr>
                              <w:jc w:val="center"/>
                              <w:rPr>
                                <w:rFonts w:hint="eastAsia"/>
                                <w:lang w:val="en-US" w:eastAsia="zh-CN"/>
                              </w:rPr>
                            </w:pPr>
                            <w:r>
                              <w:rPr>
                                <w:rFonts w:hint="eastAsia"/>
                                <w:lang w:val="en-US" w:eastAsia="zh-CN"/>
                              </w:rPr>
                              <w:t>料</w:t>
                            </w:r>
                          </w:p>
                          <w:p>
                            <w:pPr>
                              <w:jc w:val="center"/>
                              <w:rPr>
                                <w:rFonts w:hint="default"/>
                                <w:lang w:val="en-US" w:eastAsia="zh-CN"/>
                              </w:rPr>
                            </w:pPr>
                            <w:r>
                              <w:rPr>
                                <w:rFonts w:hint="eastAsia"/>
                                <w:lang w:val="en-US" w:eastAsia="zh-CN"/>
                              </w:rPr>
                              <w:t>仓</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3.25pt;height:133.95pt;width:39.1pt;z-index:252185600;v-text-anchor:middle;mso-width-relative:page;mso-height-relative:page;" fillcolor="#FFFFFF [3201]" filled="t" stroked="t" coordsize="21600,21600" o:gfxdata="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w&#10;QLBH1wAAAAkBAAAPAAAAAAAAAAEAIAAAACIAAABkcnMvZG93bnJldi54bWxQSwECFAAUAAAACACH&#10;TuJAuadTmZcCAAAvBQAADgAAAAAAAAABACAAAAAmAQAAZHJzL2Uyb0RvYy54bWxQSwUGAAAAAAYA&#10;BgBZAQAALwYAAAAA&#10;">
                <v:fill on="t" focussize="0,0"/>
                <v:stroke weight="1pt" color="#222A35 [1615]" miterlimit="8" joinstyle="miter"/>
                <v:imagedata o:title=""/>
                <o:lock v:ext="edit" aspectratio="f"/>
                <v:textbox>
                  <w:txbxContent>
                    <w:p>
                      <w:pPr>
                        <w:jc w:val="center"/>
                        <w:rPr>
                          <w:rFonts w:hint="eastAsia"/>
                          <w:lang w:val="en-US" w:eastAsia="zh-CN"/>
                        </w:rPr>
                      </w:pPr>
                      <w:r>
                        <w:rPr>
                          <w:rFonts w:hint="eastAsia"/>
                          <w:lang w:val="en-US" w:eastAsia="zh-CN"/>
                        </w:rPr>
                        <w:t>骨</w:t>
                      </w:r>
                    </w:p>
                    <w:p>
                      <w:pPr>
                        <w:jc w:val="center"/>
                        <w:rPr>
                          <w:rFonts w:hint="eastAsia"/>
                          <w:lang w:val="en-US" w:eastAsia="zh-CN"/>
                        </w:rPr>
                      </w:pPr>
                      <w:r>
                        <w:rPr>
                          <w:rFonts w:hint="eastAsia"/>
                          <w:lang w:val="en-US" w:eastAsia="zh-CN"/>
                        </w:rPr>
                        <w:t>料</w:t>
                      </w:r>
                    </w:p>
                    <w:p>
                      <w:pPr>
                        <w:jc w:val="center"/>
                        <w:rPr>
                          <w:rFonts w:hint="default"/>
                          <w:lang w:val="en-US" w:eastAsia="zh-CN"/>
                        </w:rPr>
                      </w:pPr>
                      <w:r>
                        <w:rPr>
                          <w:rFonts w:hint="eastAsia"/>
                          <w:lang w:val="en-US" w:eastAsia="zh-CN"/>
                        </w:rPr>
                        <w:t>仓</w:t>
                      </w:r>
                    </w:p>
                  </w:txbxContent>
                </v:textbox>
              </v:rect>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0480" behindDoc="0" locked="0" layoutInCell="1" allowOverlap="1">
                <wp:simplePos x="0" y="0"/>
                <wp:positionH relativeFrom="column">
                  <wp:posOffset>911225</wp:posOffset>
                </wp:positionH>
                <wp:positionV relativeFrom="paragraph">
                  <wp:posOffset>274320</wp:posOffset>
                </wp:positionV>
                <wp:extent cx="911860" cy="397510"/>
                <wp:effectExtent l="6350" t="6350" r="11430" b="7620"/>
                <wp:wrapNone/>
                <wp:docPr id="40" name="矩形 40"/>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3号振动筛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1.75pt;margin-top:21.6pt;height:31.3pt;width:71.8pt;z-index:252180480;v-text-anchor:middle;mso-width-relative:page;mso-height-relative:page;" fillcolor="#FFFFFF [3201]" filled="t" stroked="t" coordsize="21600,21600" o:gfxdata="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PxiA9XXAAAACgEAAA8AAAAAAAAAAQAgAAAAIgAAAGRycy9k&#10;b3ducmV2LnhtbFBLAQIUABQAAAAIAIdO4kDEv0fTdQIAAAAFAAAOAAAAAAAAAAEAIAAAACYBAABk&#10;cnMvZTJvRG9jLnhtbFBLBQYAAAAABgAGAFkBAAAN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3号振动筛</w:t>
                      </w:r>
                    </w:p>
                  </w:txbxContent>
                </v:textbox>
              </v:rect>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9456" behindDoc="0" locked="0" layoutInCell="1" allowOverlap="1">
                <wp:simplePos x="0" y="0"/>
                <wp:positionH relativeFrom="column">
                  <wp:posOffset>1821180</wp:posOffset>
                </wp:positionH>
                <wp:positionV relativeFrom="paragraph">
                  <wp:posOffset>329565</wp:posOffset>
                </wp:positionV>
                <wp:extent cx="426720" cy="635"/>
                <wp:effectExtent l="0" t="53340" r="0" b="67945"/>
                <wp:wrapNone/>
                <wp:docPr id="41" name="直接箭头连接符 41"/>
                <wp:cNvGraphicFramePr/>
                <a:graphic xmlns:a="http://schemas.openxmlformats.org/drawingml/2006/main">
                  <a:graphicData uri="http://schemas.microsoft.com/office/word/2010/wordprocessingShape">
                    <wps:wsp>
                      <wps:cNvCnPr/>
                      <wps:spPr>
                        <a:xfrm flipH="1">
                          <a:off x="0" y="0"/>
                          <a:ext cx="426720" cy="63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143.4pt;margin-top:25.95pt;height:0.05pt;width:33.6pt;z-index:252179456;mso-width-relative:page;mso-height-relative:page;" filled="f" stroked="t" coordsize="21600,21600" o:gfxdata="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IosrtkAAAAJAQAA&#10;DwAAAAAAAAABACAAAAAiAAAAZHJzL2Rvd25yZXYueG1sUEsBAhQAFAAAAAgAh07iQJYDAXEYAgAA&#10;/gMAAA4AAAAAAAAAAQAgAAAAKAEAAGRycy9lMm9Eb2MueG1sUEsFBgAAAAAGAAYAWQEAALIFAAAA&#10;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78432" behindDoc="0" locked="0" layoutInCell="1" allowOverlap="1">
                <wp:simplePos x="0" y="0"/>
                <wp:positionH relativeFrom="column">
                  <wp:posOffset>2247900</wp:posOffset>
                </wp:positionH>
                <wp:positionV relativeFrom="paragraph">
                  <wp:posOffset>255270</wp:posOffset>
                </wp:positionV>
                <wp:extent cx="911860" cy="397510"/>
                <wp:effectExtent l="6350" t="6350" r="11430" b="7620"/>
                <wp:wrapNone/>
                <wp:docPr id="42" name="矩形 42"/>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反击破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7pt;margin-top:20.1pt;height:31.3pt;width:71.8pt;z-index:252178432;v-text-anchor:middle;mso-width-relative:page;mso-height-relative:page;" fillcolor="#FFFFFF [3201]" filled="t" stroked="t" coordsize="21600,21600" o:gfxdata="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&#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G8z3JHYAAAACgEAAA8AAAAAAAAAAQAgAAAAIgAAAGRy&#10;cy9kb3ducmV2LnhtbFBLAQIUABQAAAAIAIdO4kC5UTJgdwIAAAAFAAAOAAAAAAAAAAEAIAAAACcB&#10;AABkcnMvZTJvRG9jLnhtbFBLBQYAAAAABgAGAFkBAAAQ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反击破</w:t>
                      </w:r>
                    </w:p>
                  </w:txbxContent>
                </v:textbox>
              </v:rect>
            </w:pict>
          </mc:Fallback>
        </mc:AlternateConten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6624" behindDoc="0" locked="0" layoutInCell="1" allowOverlap="1">
                <wp:simplePos x="0" y="0"/>
                <wp:positionH relativeFrom="column">
                  <wp:posOffset>400050</wp:posOffset>
                </wp:positionH>
                <wp:positionV relativeFrom="paragraph">
                  <wp:posOffset>76835</wp:posOffset>
                </wp:positionV>
                <wp:extent cx="511175" cy="5080"/>
                <wp:effectExtent l="0" t="49530" r="6985" b="67310"/>
                <wp:wrapNone/>
                <wp:docPr id="43" name="直接箭头连接符 43"/>
                <wp:cNvGraphicFramePr/>
                <a:graphic xmlns:a="http://schemas.openxmlformats.org/drawingml/2006/main">
                  <a:graphicData uri="http://schemas.microsoft.com/office/word/2010/wordprocessingShape">
                    <wps:wsp>
                      <wps:cNvCnPr>
                        <a:stCxn id="40" idx="1"/>
                      </wps:cNvCnPr>
                      <wps:spPr>
                        <a:xfrm flipH="1">
                          <a:off x="2054225" y="8123555"/>
                          <a:ext cx="511175" cy="508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31.5pt;margin-top:6.05pt;height:0.4pt;width:40.25pt;z-index:252186624;mso-width-relative:page;mso-height-relative:page;" filled="f" stroked="t" coordsize="21600,21600" o:gfxdata="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NtESLXAAAACAEAAA8AAAAAAAAAAQAgAAAAIgAAAGRycy9kb3ducmV2&#10;LnhtbFBLAQIUABQAAAAIAIdO4kDBYIimNgIAADIEAAAOAAAAAAAAAAEAIAAAACYBAABkcnMvZTJv&#10;RG9jLnhtbFBLBQYAAAAABgAGAFkBAADOBQ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4576" behindDoc="0" locked="0" layoutInCell="1" allowOverlap="1">
                <wp:simplePos x="0" y="0"/>
                <wp:positionH relativeFrom="column">
                  <wp:posOffset>1842770</wp:posOffset>
                </wp:positionH>
                <wp:positionV relativeFrom="paragraph">
                  <wp:posOffset>256540</wp:posOffset>
                </wp:positionV>
                <wp:extent cx="861060" cy="637540"/>
                <wp:effectExtent l="0" t="7620" r="7620" b="10160"/>
                <wp:wrapNone/>
                <wp:docPr id="49" name="直接箭头连接符 49"/>
                <wp:cNvGraphicFramePr/>
                <a:graphic xmlns:a="http://schemas.openxmlformats.org/drawingml/2006/main">
                  <a:graphicData uri="http://schemas.microsoft.com/office/word/2010/wordprocessingShape">
                    <wps:wsp>
                      <wps:cNvCnPr>
                        <a:stCxn id="42" idx="2"/>
                        <a:endCxn id="68" idx="3"/>
                      </wps:cNvCnPr>
                      <wps:spPr>
                        <a:xfrm flipH="1">
                          <a:off x="3846830" y="8303260"/>
                          <a:ext cx="861060" cy="63754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145.1pt;margin-top:20.2pt;height:50.2pt;width:67.8pt;z-index:252184576;mso-width-relative:page;mso-height-relative:page;" filled="f" stroked="t" coordsize="21600,21600" o:gfxdata="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SgJYE2AAAAAoBAAAPAAAAAAAAAAEAIAAAACIA&#10;AABkcnMvZG93bnJldi54bWxQSwECFAAUAAAACACHTuJANRoxfEICAABPBAAADgAAAAAAAAABACAA&#10;AAAnAQAAZHJzL2Uyb0RvYy54bWxQSwUGAAAAAAYABgBZAQAA2wU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3552" behindDoc="0" locked="0" layoutInCell="1" allowOverlap="1">
                <wp:simplePos x="0" y="0"/>
                <wp:positionH relativeFrom="column">
                  <wp:posOffset>1826260</wp:posOffset>
                </wp:positionH>
                <wp:positionV relativeFrom="paragraph">
                  <wp:posOffset>222885</wp:posOffset>
                </wp:positionV>
                <wp:extent cx="434340" cy="8890"/>
                <wp:effectExtent l="0" t="52070" r="7620" b="60960"/>
                <wp:wrapNone/>
                <wp:docPr id="50" name="直接箭头连接符 50"/>
                <wp:cNvGraphicFramePr/>
                <a:graphic xmlns:a="http://schemas.openxmlformats.org/drawingml/2006/main">
                  <a:graphicData uri="http://schemas.microsoft.com/office/word/2010/wordprocessingShape">
                    <wps:wsp>
                      <wps:cNvCnPr/>
                      <wps:spPr>
                        <a:xfrm flipV="1">
                          <a:off x="2969260" y="8278495"/>
                          <a:ext cx="434340" cy="889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y;margin-left:143.8pt;margin-top:17.55pt;height:0.7pt;width:34.2pt;z-index:252183552;mso-width-relative:page;mso-height-relative:page;" filled="f" stroked="t" coordsize="21600,21600" o:gfxdata="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N&#10;iGh72QAAAAkBAAAPAAAAAAAAAAEAIAAAACIAAABkcnMvZG93bnJldi54bWxQSwECFAAUAAAACACH&#10;TuJA5xsqpyMCAAALBAAADgAAAAAAAAABACAAAAAoAQAAZHJzL2Uyb0RvYy54bWxQSwUGAAAAAAYA&#10;BgBZAQAAvQU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1504" behindDoc="0" locked="0" layoutInCell="1" allowOverlap="1">
                <wp:simplePos x="0" y="0"/>
                <wp:positionH relativeFrom="column">
                  <wp:posOffset>1391920</wp:posOffset>
                </wp:positionH>
                <wp:positionV relativeFrom="paragraph">
                  <wp:posOffset>292100</wp:posOffset>
                </wp:positionV>
                <wp:extent cx="1905" cy="410845"/>
                <wp:effectExtent l="52705" t="0" r="67310" b="635"/>
                <wp:wrapNone/>
                <wp:docPr id="51" name="直接箭头连接符 51"/>
                <wp:cNvGraphicFramePr/>
                <a:graphic xmlns:a="http://schemas.openxmlformats.org/drawingml/2006/main">
                  <a:graphicData uri="http://schemas.microsoft.com/office/word/2010/wordprocessingShape">
                    <wps:wsp>
                      <wps:cNvCnPr/>
                      <wps:spPr>
                        <a:xfrm>
                          <a:off x="0" y="0"/>
                          <a:ext cx="1905" cy="41084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109.6pt;margin-top:23pt;height:32.35pt;width:0.15pt;z-index:252181504;mso-width-relative:page;mso-height-relative:page;" filled="f" stroked="t" coordsize="21600,21600" o:gfxdata="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JxRG61gAAAAoBAAAPAAAAAAAAAAEAIAAA&#10;ACIAAABkcnMvZG93bnJldi54bWxQSwECFAAUAAAACACHTuJAgsGaaA4CAAD1AwAADgAAAAAAAAAB&#10;ACAAAAAlAQAAZHJzL2Uyb0RvYy54bWxQSwUGAAAAAAYABgBZAQAApQUAAAAA&#10;">
                <v:fill on="f" focussize="0,0"/>
                <v:stroke weight="1.5pt" color="#000000 [3200]" miterlimit="8" joinstyle="miter" endarrow="open"/>
                <v:imagedata o:title=""/>
                <o:lock v:ext="edit" aspectratio="f"/>
              </v:shape>
            </w:pict>
          </mc:Fallback>
        </mc:AlternateConten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9696" behindDoc="0" locked="0" layoutInCell="1" allowOverlap="1">
                <wp:simplePos x="0" y="0"/>
                <wp:positionH relativeFrom="column">
                  <wp:posOffset>444500</wp:posOffset>
                </wp:positionH>
                <wp:positionV relativeFrom="paragraph">
                  <wp:posOffset>549910</wp:posOffset>
                </wp:positionV>
                <wp:extent cx="478155" cy="336550"/>
                <wp:effectExtent l="0" t="7620" r="9525" b="6350"/>
                <wp:wrapNone/>
                <wp:docPr id="54" name="直接箭头连接符 54"/>
                <wp:cNvGraphicFramePr/>
                <a:graphic xmlns:a="http://schemas.openxmlformats.org/drawingml/2006/main">
                  <a:graphicData uri="http://schemas.microsoft.com/office/word/2010/wordprocessingShape">
                    <wps:wsp>
                      <wps:cNvCnPr/>
                      <wps:spPr>
                        <a:xfrm flipH="1">
                          <a:off x="2056765" y="9130030"/>
                          <a:ext cx="478155" cy="3365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35pt;margin-top:43.3pt;height:26.5pt;width:37.65pt;z-index:252189696;mso-width-relative:page;mso-height-relative:page;" filled="f" stroked="t" coordsize="21600,21600" o:gfxdata="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d2jet2QAAAAkBAAAPAAAAAAAAAAEAIAAAACIAAABkcnMvZG93bnJldi54bWxQSwECFAAU&#10;AAAACACHTuJAWgP/JykCAAANBAAADgAAAAAAAAABACAAAAAoAQAAZHJzL2Uyb0RvYy54bWxQSwUG&#10;AAAAAAYABgBZAQAAwwU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8672" behindDoc="0" locked="0" layoutInCell="1" allowOverlap="1">
                <wp:simplePos x="0" y="0"/>
                <wp:positionH relativeFrom="column">
                  <wp:posOffset>417830</wp:posOffset>
                </wp:positionH>
                <wp:positionV relativeFrom="paragraph">
                  <wp:posOffset>422275</wp:posOffset>
                </wp:positionV>
                <wp:extent cx="513080" cy="3175"/>
                <wp:effectExtent l="0" t="51435" r="5080" b="67310"/>
                <wp:wrapNone/>
                <wp:docPr id="66" name="直接箭头连接符 66"/>
                <wp:cNvGraphicFramePr/>
                <a:graphic xmlns:a="http://schemas.openxmlformats.org/drawingml/2006/main">
                  <a:graphicData uri="http://schemas.microsoft.com/office/word/2010/wordprocessingShape">
                    <wps:wsp>
                      <wps:cNvCnPr/>
                      <wps:spPr>
                        <a:xfrm flipH="1">
                          <a:off x="2073910" y="8940800"/>
                          <a:ext cx="513080" cy="3175"/>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margin-left:32.9pt;margin-top:33.25pt;height:0.25pt;width:40.4pt;z-index:252188672;mso-width-relative:page;mso-height-relative:page;" filled="f" stroked="t" coordsize="21600,21600" o:gfxdata="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Ek0v9gAAAAIAQAADwAAAAAAAAABACAAAAAiAAAAZHJzL2Rvd25yZXYueG1sUEsBAhQAFAAAAAgA&#10;h07iQBGmJuslAgAACwQAAA4AAAAAAAAAAQAgAAAAJwEAAGRycy9lMm9Eb2MueG1sUEsFBgAAAAAG&#10;AAYAWQEAAL4FA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7648" behindDoc="0" locked="0" layoutInCell="1" allowOverlap="1">
                <wp:simplePos x="0" y="0"/>
                <wp:positionH relativeFrom="column">
                  <wp:posOffset>408940</wp:posOffset>
                </wp:positionH>
                <wp:positionV relativeFrom="paragraph">
                  <wp:posOffset>22860</wp:posOffset>
                </wp:positionV>
                <wp:extent cx="522605" cy="292100"/>
                <wp:effectExtent l="0" t="1905" r="10795" b="10795"/>
                <wp:wrapNone/>
                <wp:docPr id="67" name="直接箭头连接符 67"/>
                <wp:cNvGraphicFramePr/>
                <a:graphic xmlns:a="http://schemas.openxmlformats.org/drawingml/2006/main">
                  <a:graphicData uri="http://schemas.microsoft.com/office/word/2010/wordprocessingShape">
                    <wps:wsp>
                      <wps:cNvCnPr/>
                      <wps:spPr>
                        <a:xfrm flipH="1" flipV="1">
                          <a:off x="2074545" y="8757920"/>
                          <a:ext cx="522605" cy="29210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x y;margin-left:32.2pt;margin-top:1.8pt;height:23pt;width:41.15pt;z-index:252187648;mso-width-relative:page;mso-height-relative:page;" filled="f" stroked="t" coordsize="21600,21600" o:gfxdata="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1Pefj1QAAAAcBAAAPAAAAAAAAAAEAIAAAACIAAABkcnMvZG93bnJldi54bWxQSwECFAAU&#10;AAAACACHTuJAlY7hhC0CAAAXBAAADgAAAAAAAAABACAAAAAkAQAAZHJzL2Uyb0RvYy54bWxQSwUG&#10;AAAAAAYABgBZAQAAwwUAAAAA&#10;">
                <v:fill on="f" focussize="0,0"/>
                <v:stroke weight="1.5pt" color="#000000 [3200]" miterlimit="8" joinstyle="miter" endarrow="open"/>
                <v:imagedata o:title=""/>
                <o:lock v:ext="edit" aspectratio="f"/>
              </v:shape>
            </w:pict>
          </mc:Fallback>
        </mc:AlternateContent>
      </w:r>
      <w:r>
        <w:rPr>
          <w:rFonts w:hint="eastAsia" w:ascii="宋体" w:hAnsi="宋体" w:eastAsia="宋体" w:cs="宋体"/>
          <w:bCs/>
          <w:sz w:val="28"/>
          <w:szCs w:val="28"/>
          <w:highlight w:val="none"/>
          <w:lang w:val="en-US" w:eastAsia="zh-CN"/>
        </w:rPr>
        <mc:AlternateContent>
          <mc:Choice Requires="wps">
            <w:drawing>
              <wp:anchor distT="0" distB="0" distL="114300" distR="114300" simplePos="0" relativeHeight="252182528" behindDoc="0" locked="0" layoutInCell="1" allowOverlap="1">
                <wp:simplePos x="0" y="0"/>
                <wp:positionH relativeFrom="column">
                  <wp:posOffset>930910</wp:posOffset>
                </wp:positionH>
                <wp:positionV relativeFrom="paragraph">
                  <wp:posOffset>299085</wp:posOffset>
                </wp:positionV>
                <wp:extent cx="911860" cy="397510"/>
                <wp:effectExtent l="6350" t="6350" r="11430" b="7620"/>
                <wp:wrapNone/>
                <wp:docPr id="68" name="矩形 68"/>
                <wp:cNvGraphicFramePr/>
                <a:graphic xmlns:a="http://schemas.openxmlformats.org/drawingml/2006/main">
                  <a:graphicData uri="http://schemas.microsoft.com/office/word/2010/wordprocessingShape">
                    <wps:wsp>
                      <wps:cNvSpPr/>
                      <wps:spPr>
                        <a:xfrm>
                          <a:off x="0" y="0"/>
                          <a:ext cx="911860" cy="39751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4号振动筛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3.3pt;margin-top:23.55pt;height:31.3pt;width:71.8pt;z-index:252182528;v-text-anchor:middle;mso-width-relative:page;mso-height-relative:page;" fillcolor="#FFFFFF [3201]" filled="t" stroked="t" coordsize="21600,21600" o:gfxdata="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Gtr9uzWAAAACgEAAA8AAAAAAAAAAQAgAAAAIgAAAGRycy9k&#10;b3ducmV2LnhtbFBLAQIUABQAAAAIAIdO4kCcdARddgIAAAAFAAAOAAAAAAAAAAEAIAAAACUBAABk&#10;cnMvZTJvRG9jLnhtbFBLBQYAAAAABgAGAFkBAAAN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4号振动筛</w:t>
                      </w:r>
                    </w:p>
                  </w:txbxContent>
                </v:textbox>
              </v:rect>
            </w:pict>
          </mc:Fallback>
        </mc:AlternateConten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rPr>
        <w:t>经预处理后的原料通过振动给料机依次进入颚式破碎机</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反击破破碎机</w:t>
      </w: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并经过人工分拣、水浮选及磁选，</w:t>
      </w:r>
      <w:r>
        <w:rPr>
          <w:rFonts w:hint="eastAsia" w:ascii="宋体" w:hAnsi="宋体" w:eastAsia="宋体" w:cs="宋体"/>
          <w:bCs/>
          <w:sz w:val="28"/>
          <w:szCs w:val="28"/>
          <w:highlight w:val="none"/>
        </w:rPr>
        <w:t>滚筒筛</w:t>
      </w:r>
      <w:r>
        <w:rPr>
          <w:rFonts w:hint="eastAsia" w:ascii="宋体" w:hAnsi="宋体" w:eastAsia="宋体" w:cs="宋体"/>
          <w:bCs/>
          <w:sz w:val="28"/>
          <w:szCs w:val="28"/>
          <w:highlight w:val="none"/>
          <w:lang w:val="en-US" w:eastAsia="zh-CN"/>
        </w:rPr>
        <w:t>及</w:t>
      </w:r>
      <w:r>
        <w:rPr>
          <w:rFonts w:hint="eastAsia" w:ascii="宋体" w:hAnsi="宋体" w:eastAsia="宋体" w:cs="宋体"/>
          <w:bCs/>
          <w:sz w:val="28"/>
          <w:szCs w:val="28"/>
          <w:highlight w:val="none"/>
        </w:rPr>
        <w:t>振动筛</w:t>
      </w:r>
      <w:r>
        <w:rPr>
          <w:rFonts w:hint="eastAsia" w:ascii="宋体" w:hAnsi="宋体" w:eastAsia="宋体" w:cs="宋体"/>
          <w:bCs/>
          <w:sz w:val="28"/>
          <w:szCs w:val="28"/>
          <w:highlight w:val="none"/>
          <w:lang w:val="en-US" w:eastAsia="zh-CN"/>
        </w:rPr>
        <w:t>筛分后，分为0</w:t>
      </w: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5</w:t>
      </w:r>
      <w:r>
        <w:rPr>
          <w:rFonts w:hint="eastAsia" w:ascii="宋体" w:hAnsi="宋体" w:eastAsia="宋体" w:cs="宋体"/>
          <w:bCs/>
          <w:sz w:val="28"/>
          <w:szCs w:val="28"/>
          <w:highlight w:val="none"/>
        </w:rPr>
        <w:t>mm、5～8mm、8～12mm、12～25mm</w:t>
      </w:r>
      <w:r>
        <w:rPr>
          <w:rFonts w:hint="eastAsia" w:ascii="宋体" w:hAnsi="宋体" w:eastAsia="宋体" w:cs="宋体"/>
          <w:bCs/>
          <w:sz w:val="28"/>
          <w:szCs w:val="28"/>
          <w:highlight w:val="none"/>
          <w:lang w:val="en-US" w:eastAsia="zh-CN"/>
        </w:rPr>
        <w:t>四</w:t>
      </w:r>
      <w:r>
        <w:rPr>
          <w:rFonts w:hint="eastAsia" w:ascii="宋体" w:hAnsi="宋体" w:eastAsia="宋体" w:cs="宋体"/>
          <w:bCs/>
          <w:sz w:val="28"/>
          <w:szCs w:val="28"/>
          <w:highlight w:val="none"/>
        </w:rPr>
        <w:t>种骨料</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rPr>
        <w:t>并通过胶带输送机或双向胶带输送机分别送至不同的骨料仓位。</w:t>
      </w:r>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bCs/>
          <w:sz w:val="28"/>
          <w:szCs w:val="28"/>
          <w:highlight w:val="none"/>
          <w:lang w:val="en-US" w:eastAsia="zh-CN"/>
        </w:rPr>
        <w:t>各个设备直接由</w:t>
      </w:r>
      <w:r>
        <w:rPr>
          <w:rFonts w:hint="eastAsia" w:ascii="宋体" w:hAnsi="宋体" w:eastAsia="宋体" w:cs="宋体"/>
          <w:bCs/>
          <w:sz w:val="28"/>
          <w:szCs w:val="28"/>
          <w:highlight w:val="none"/>
        </w:rPr>
        <w:t>胶带输送机或双向胶带输送机</w:t>
      </w:r>
      <w:r>
        <w:rPr>
          <w:rFonts w:hint="eastAsia" w:ascii="宋体" w:hAnsi="宋体" w:eastAsia="宋体" w:cs="宋体"/>
          <w:bCs/>
          <w:sz w:val="28"/>
          <w:szCs w:val="28"/>
          <w:highlight w:val="none"/>
          <w:lang w:val="en-US" w:eastAsia="zh-CN"/>
        </w:rPr>
        <w:t>连接</w:t>
      </w:r>
      <w:r>
        <w:rPr>
          <w:rFonts w:hint="eastAsia" w:ascii="宋体" w:hAnsi="宋体" w:eastAsia="宋体" w:cs="宋体"/>
          <w:bCs/>
          <w:sz w:val="28"/>
          <w:szCs w:val="28"/>
          <w:highlight w:val="none"/>
        </w:rPr>
        <w:t>。</w:t>
      </w:r>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bCs/>
          <w:sz w:val="28"/>
          <w:szCs w:val="28"/>
          <w:highlight w:val="none"/>
          <w:lang w:val="en-US" w:eastAsia="zh-CN"/>
        </w:rPr>
        <w:t>3</w:t>
      </w:r>
      <w:r>
        <w:rPr>
          <w:rFonts w:hint="eastAsia" w:ascii="宋体" w:hAnsi="宋体" w:eastAsia="宋体" w:cs="宋体"/>
          <w:bCs/>
          <w:sz w:val="28"/>
          <w:szCs w:val="28"/>
          <w:highlight w:val="none"/>
        </w:rPr>
        <w:t>）皮带转运系统</w:t>
      </w:r>
    </w:p>
    <w:p>
      <w:pPr>
        <w:widowControl/>
        <w:spacing w:line="360" w:lineRule="auto"/>
        <w:ind w:firstLine="560" w:firstLineChars="200"/>
        <w:jc w:val="left"/>
        <w:textAlignment w:val="baseline"/>
        <w:rPr>
          <w:rFonts w:hint="eastAsia" w:ascii="宋体" w:hAnsi="宋体" w:eastAsia="宋体" w:cs="宋体"/>
          <w:bCs/>
          <w:sz w:val="28"/>
          <w:szCs w:val="28"/>
          <w:highlight w:val="none"/>
        </w:rPr>
      </w:pPr>
      <w:r>
        <w:rPr>
          <w:rFonts w:hint="eastAsia" w:ascii="宋体" w:hAnsi="宋体" w:eastAsia="宋体" w:cs="宋体"/>
          <w:bCs/>
          <w:sz w:val="28"/>
          <w:szCs w:val="28"/>
          <w:highlight w:val="none"/>
        </w:rPr>
        <w:t>建筑垃圾堆放车间到破碎车间、骨料存储仓到制砖车间及水稳车间的骨料均采用皮带转运，可实现远程自动控制。</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4）制砖系统</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rPr>
        <w:t>各种骨料按一定的配比装入配料系统，由水泥仓送入的水泥一并进入搅拌机内搅拌，搅拌均匀的物料经输送装置送入全自动成型主机内振动成型出制品，</w:t>
      </w:r>
      <w:r>
        <w:rPr>
          <w:rFonts w:hint="eastAsia" w:ascii="宋体" w:hAnsi="宋体" w:eastAsia="宋体" w:cs="宋体"/>
          <w:bCs/>
          <w:sz w:val="28"/>
          <w:szCs w:val="28"/>
          <w:highlight w:val="none"/>
          <w:lang w:val="en-US" w:eastAsia="zh-CN"/>
        </w:rPr>
        <w:t>制品经养护后运至室外成品堆放区待售。整套制砖设备还配备有转运码垛系统和中央控制系统。</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5）</w:t>
      </w:r>
      <w:r>
        <w:rPr>
          <w:rFonts w:hint="eastAsia" w:ascii="宋体" w:hAnsi="宋体" w:eastAsia="宋体" w:cs="宋体"/>
          <w:bCs/>
          <w:sz w:val="28"/>
          <w:szCs w:val="28"/>
          <w:highlight w:val="none"/>
        </w:rPr>
        <w:t>水稳</w:t>
      </w:r>
      <w:r>
        <w:rPr>
          <w:rFonts w:hint="eastAsia" w:ascii="宋体" w:hAnsi="宋体" w:eastAsia="宋体" w:cs="宋体"/>
          <w:bCs/>
          <w:sz w:val="28"/>
          <w:szCs w:val="28"/>
          <w:highlight w:val="none"/>
          <w:lang w:val="en-US" w:eastAsia="zh-CN"/>
        </w:rPr>
        <w:t>系统</w:t>
      </w:r>
    </w:p>
    <w:p>
      <w:pPr>
        <w:widowControl/>
        <w:spacing w:line="360" w:lineRule="auto"/>
        <w:ind w:firstLine="560" w:firstLineChars="200"/>
        <w:jc w:val="left"/>
        <w:textAlignment w:val="baseline"/>
        <w:rPr>
          <w:rFonts w:hint="eastAsia" w:ascii="宋体" w:hAnsi="宋体" w:cs="宋体"/>
          <w:color w:val="000000"/>
          <w:kern w:val="0"/>
          <w:sz w:val="24"/>
          <w:highlight w:val="none"/>
          <w:lang w:val="en-US" w:eastAsia="zh-CN"/>
        </w:rPr>
      </w:pPr>
      <w:r>
        <w:rPr>
          <w:rFonts w:hint="eastAsia" w:ascii="宋体" w:hAnsi="宋体" w:eastAsia="宋体" w:cs="宋体"/>
          <w:bCs/>
          <w:sz w:val="28"/>
          <w:szCs w:val="28"/>
          <w:highlight w:val="none"/>
        </w:rPr>
        <w:t>各种骨料按一定的配比送至搅拌装置内；搅拌用水由水泵按需送至加水器喷头，均匀的喷洒在搅拌装置内，进入搅拌机的物料在搅拌机内相互反转的两根搅拌轴上螺旋浆片的搅拌下，进行剧烈的强制搅合，并向出料口推移，</w:t>
      </w:r>
      <w:r>
        <w:rPr>
          <w:rFonts w:hint="eastAsia" w:ascii="宋体" w:hAnsi="宋体" w:eastAsia="宋体" w:cs="宋体"/>
          <w:bCs/>
          <w:sz w:val="28"/>
          <w:szCs w:val="28"/>
          <w:highlight w:val="none"/>
          <w:lang w:val="en-US" w:eastAsia="zh-CN"/>
        </w:rPr>
        <w:t>搅拌</w:t>
      </w:r>
      <w:r>
        <w:rPr>
          <w:rFonts w:hint="eastAsia" w:ascii="宋体" w:hAnsi="宋体" w:eastAsia="宋体" w:cs="宋体"/>
          <w:bCs/>
          <w:sz w:val="28"/>
          <w:szCs w:val="28"/>
          <w:highlight w:val="none"/>
        </w:rPr>
        <w:t>均匀的物料由出料口落到斜皮带机上，由该皮带机输送到储料仓内，等待运料车到来后，成品料运往施工现场。</w:t>
      </w:r>
    </w:p>
    <w:p>
      <w:pPr>
        <w:widowControl/>
        <w:spacing w:line="360" w:lineRule="auto"/>
        <w:ind w:firstLine="480" w:firstLineChars="200"/>
        <w:jc w:val="left"/>
        <w:textAlignment w:val="baseline"/>
        <w:rPr>
          <w:rFonts w:ascii="宋体" w:hAnsi="宋体"/>
          <w:sz w:val="24"/>
          <w:highlight w:val="none"/>
        </w:rPr>
      </w:pPr>
    </w:p>
    <w:p>
      <w:pPr>
        <w:widowControl/>
        <w:spacing w:line="360" w:lineRule="auto"/>
        <w:ind w:firstLine="480" w:firstLineChars="200"/>
        <w:jc w:val="left"/>
        <w:textAlignment w:val="baseline"/>
        <w:rPr>
          <w:rFonts w:ascii="宋体" w:hAnsi="宋体"/>
          <w:sz w:val="24"/>
          <w:highlight w:val="none"/>
        </w:rPr>
        <w:sectPr>
          <w:footerReference r:id="rId4" w:type="default"/>
          <w:pgSz w:w="11906" w:h="16838"/>
          <w:pgMar w:top="1440" w:right="1800" w:bottom="1440" w:left="1800" w:header="851" w:footer="992" w:gutter="0"/>
          <w:pgNumType w:fmt="decimal" w:start="1"/>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400" w:after="400" w:line="600" w:lineRule="auto"/>
        <w:jc w:val="center"/>
        <w:textAlignment w:val="auto"/>
        <w:rPr>
          <w:rFonts w:hint="default"/>
          <w:kern w:val="0"/>
          <w:highlight w:val="none"/>
          <w:lang w:val="en-US" w:eastAsia="zh-CN"/>
        </w:rPr>
      </w:pPr>
      <w:bookmarkStart w:id="41" w:name="_Toc30216"/>
      <w:bookmarkStart w:id="42" w:name="_Toc13509"/>
      <w:bookmarkStart w:id="43" w:name="_Toc12102"/>
      <w:bookmarkStart w:id="44" w:name="_Toc8402"/>
      <w:bookmarkStart w:id="45" w:name="_Toc19574"/>
      <w:r>
        <w:rPr>
          <w:rFonts w:hint="eastAsia"/>
          <w:kern w:val="0"/>
          <w:highlight w:val="none"/>
          <w:lang w:val="en-US" w:eastAsia="zh-CN"/>
        </w:rPr>
        <w:t>二、技术要求</w:t>
      </w:r>
      <w:bookmarkEnd w:id="41"/>
      <w:bookmarkEnd w:id="42"/>
      <w:bookmarkEnd w:id="43"/>
      <w:bookmarkEnd w:id="44"/>
      <w:bookmarkEnd w:id="45"/>
    </w:p>
    <w:p>
      <w:pPr>
        <w:pStyle w:val="3"/>
        <w:spacing w:before="0" w:after="0" w:line="360" w:lineRule="auto"/>
        <w:rPr>
          <w:rFonts w:hint="eastAsia" w:ascii="宋体" w:hAnsi="宋体" w:eastAsia="宋体"/>
          <w:kern w:val="0"/>
          <w:highlight w:val="none"/>
          <w:lang w:eastAsia="zh-CN"/>
        </w:rPr>
      </w:pPr>
      <w:bookmarkStart w:id="46" w:name="_Toc32551"/>
      <w:bookmarkStart w:id="47" w:name="_Toc18435"/>
      <w:bookmarkStart w:id="48" w:name="_Toc32276"/>
      <w:bookmarkStart w:id="49" w:name="_Toc385"/>
      <w:bookmarkStart w:id="50" w:name="_Toc9032"/>
      <w:r>
        <w:rPr>
          <w:rFonts w:hint="eastAsia" w:ascii="宋体" w:hAnsi="宋体" w:eastAsia="宋体"/>
          <w:kern w:val="0"/>
          <w:highlight w:val="none"/>
          <w:lang w:val="en-US" w:eastAsia="zh-CN"/>
        </w:rPr>
        <w:t>2.1</w:t>
      </w:r>
      <w:r>
        <w:rPr>
          <w:rFonts w:ascii="宋体" w:hAnsi="宋体" w:eastAsia="宋体"/>
          <w:kern w:val="0"/>
          <w:highlight w:val="none"/>
        </w:rPr>
        <w:t xml:space="preserve">. </w:t>
      </w:r>
      <w:bookmarkEnd w:id="46"/>
      <w:r>
        <w:rPr>
          <w:rFonts w:hint="eastAsia" w:ascii="宋体" w:hAnsi="宋体" w:eastAsia="宋体"/>
          <w:kern w:val="0"/>
          <w:highlight w:val="none"/>
          <w:lang w:val="en-US" w:eastAsia="zh-CN"/>
        </w:rPr>
        <w:t>设计、制造原则</w:t>
      </w:r>
      <w:bookmarkEnd w:id="47"/>
      <w:bookmarkEnd w:id="48"/>
      <w:bookmarkEnd w:id="49"/>
      <w:bookmarkEnd w:id="50"/>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（1）基本要求：设备应满足技术先进、安全可靠、运行稳定、维修方便的要求。袋式除尘装置应能够在安全、可靠、长周期条件下运行，高产低耗，满足变工况及负荷调整的要求。</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2</w:t>
      </w:r>
      <w:r>
        <w:rPr>
          <w:rFonts w:hint="eastAsia" w:ascii="宋体" w:hAnsi="宋体" w:eastAsia="宋体" w:cs="宋体"/>
          <w:bCs/>
          <w:sz w:val="28"/>
          <w:szCs w:val="28"/>
          <w:highlight w:val="none"/>
          <w:lang w:eastAsia="zh-CN"/>
        </w:rPr>
        <w:t>）应执行相应规范和标准，并按较高标准执行。根据本工程要求对除尘系统进行合理的总图布置。</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3</w:t>
      </w:r>
      <w:r>
        <w:rPr>
          <w:rFonts w:hint="eastAsia" w:ascii="宋体" w:hAnsi="宋体" w:eastAsia="宋体" w:cs="宋体"/>
          <w:bCs/>
          <w:sz w:val="28"/>
          <w:szCs w:val="28"/>
          <w:highlight w:val="none"/>
          <w:lang w:eastAsia="zh-CN"/>
        </w:rPr>
        <w:t>）除尘器具有合理的安装和检修空间，具有合理的运输通道；</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4</w:t>
      </w:r>
      <w:r>
        <w:rPr>
          <w:rFonts w:hint="eastAsia" w:ascii="宋体" w:hAnsi="宋体" w:eastAsia="宋体" w:cs="宋体"/>
          <w:bCs/>
          <w:sz w:val="28"/>
          <w:szCs w:val="28"/>
          <w:highlight w:val="none"/>
          <w:lang w:eastAsia="zh-CN"/>
        </w:rPr>
        <w:t>）应能针对污染源的规律和特点，以及现场条件，合理设计管网系统，尽可能减少弯头，保持走向通畅，以减少阻力；</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5</w:t>
      </w:r>
      <w:r>
        <w:rPr>
          <w:rFonts w:hint="eastAsia" w:ascii="宋体" w:hAnsi="宋体" w:eastAsia="宋体" w:cs="宋体"/>
          <w:bCs/>
          <w:sz w:val="28"/>
          <w:szCs w:val="28"/>
          <w:highlight w:val="none"/>
          <w:lang w:eastAsia="zh-CN"/>
        </w:rPr>
        <w:t>）采用先进、成熟、可靠的技术与装备，技术指标达到国内同类项目先进水平；</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6</w:t>
      </w:r>
      <w:r>
        <w:rPr>
          <w:rFonts w:hint="eastAsia" w:ascii="宋体" w:hAnsi="宋体" w:eastAsia="宋体" w:cs="宋体"/>
          <w:bCs/>
          <w:sz w:val="28"/>
          <w:szCs w:val="28"/>
          <w:highlight w:val="none"/>
          <w:lang w:eastAsia="zh-CN"/>
        </w:rPr>
        <w:t>）除尘系统操作、维护、检修方便，具有完善的自动检测、控制功能；</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7</w:t>
      </w:r>
      <w:r>
        <w:rPr>
          <w:rFonts w:hint="eastAsia" w:ascii="宋体" w:hAnsi="宋体" w:eastAsia="宋体" w:cs="宋体"/>
          <w:bCs/>
          <w:sz w:val="28"/>
          <w:szCs w:val="28"/>
          <w:highlight w:val="none"/>
          <w:lang w:eastAsia="zh-CN"/>
        </w:rPr>
        <w:t>）除尘设施的设置与生产模式相适应，不得影响工艺生产操作和维护检修；</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8</w:t>
      </w:r>
      <w:r>
        <w:rPr>
          <w:rFonts w:hint="eastAsia" w:ascii="宋体" w:hAnsi="宋体" w:eastAsia="宋体" w:cs="宋体"/>
          <w:bCs/>
          <w:sz w:val="28"/>
          <w:szCs w:val="28"/>
          <w:highlight w:val="none"/>
          <w:lang w:eastAsia="zh-CN"/>
        </w:rPr>
        <w:t>）充分考虑运行费用，降低运行能耗。</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9</w:t>
      </w:r>
      <w:r>
        <w:rPr>
          <w:rFonts w:hint="eastAsia" w:ascii="宋体" w:hAnsi="宋体" w:eastAsia="宋体" w:cs="宋体"/>
          <w:bCs/>
          <w:sz w:val="28"/>
          <w:szCs w:val="28"/>
          <w:highlight w:val="none"/>
          <w:lang w:eastAsia="zh-CN"/>
        </w:rPr>
        <w:t>）因地制宜，多点设计，合理布局，减少占地面积。</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（1</w:t>
      </w:r>
      <w:r>
        <w:rPr>
          <w:rFonts w:hint="eastAsia" w:ascii="宋体" w:hAnsi="宋体" w:eastAsia="宋体" w:cs="宋体"/>
          <w:bCs/>
          <w:sz w:val="28"/>
          <w:szCs w:val="28"/>
          <w:highlight w:val="none"/>
          <w:lang w:val="en-US" w:eastAsia="zh-CN"/>
        </w:rPr>
        <w:t>0</w:t>
      </w:r>
      <w:r>
        <w:rPr>
          <w:rFonts w:hint="eastAsia" w:ascii="宋体" w:hAnsi="宋体" w:eastAsia="宋体" w:cs="宋体"/>
          <w:bCs/>
          <w:sz w:val="28"/>
          <w:szCs w:val="28"/>
          <w:highlight w:val="none"/>
          <w:lang w:eastAsia="zh-CN"/>
        </w:rPr>
        <w:t>）设置必要的梯子、平台、栏杆、防护罩、照明等设施，满足劳动安全卫生的要求。整个系统配套设施的设置符合安全质量体系的要求。</w:t>
      </w:r>
    </w:p>
    <w:p>
      <w:pPr>
        <w:pStyle w:val="3"/>
        <w:spacing w:before="0" w:after="0" w:line="360" w:lineRule="auto"/>
        <w:rPr>
          <w:rFonts w:hint="eastAsia" w:ascii="宋体" w:hAnsi="宋体" w:eastAsia="宋体"/>
          <w:kern w:val="0"/>
          <w:highlight w:val="none"/>
          <w:lang w:val="en-US" w:eastAsia="zh-CN"/>
        </w:rPr>
      </w:pPr>
      <w:bookmarkStart w:id="51" w:name="_Toc215150600"/>
      <w:bookmarkStart w:id="52" w:name="_Toc71532674"/>
      <w:bookmarkStart w:id="53" w:name="_Toc27413"/>
      <w:bookmarkStart w:id="54" w:name="_Toc26371"/>
      <w:bookmarkStart w:id="55" w:name="_Toc7133"/>
      <w:bookmarkStart w:id="56" w:name="_Toc5392"/>
      <w:bookmarkStart w:id="57" w:name="_Toc28689"/>
      <w:r>
        <w:rPr>
          <w:rFonts w:hint="eastAsia" w:ascii="宋体" w:hAnsi="宋体" w:eastAsia="宋体"/>
          <w:kern w:val="0"/>
          <w:highlight w:val="none"/>
          <w:lang w:val="en-US" w:eastAsia="zh-CN"/>
        </w:rPr>
        <w:t>2.2</w:t>
      </w:r>
      <w:r>
        <w:rPr>
          <w:rFonts w:ascii="宋体" w:hAnsi="宋体" w:eastAsia="宋体"/>
          <w:kern w:val="0"/>
          <w:highlight w:val="none"/>
        </w:rPr>
        <w:t xml:space="preserve">. </w:t>
      </w:r>
      <w:bookmarkEnd w:id="51"/>
      <w:bookmarkEnd w:id="52"/>
      <w:bookmarkEnd w:id="53"/>
      <w:r>
        <w:rPr>
          <w:rFonts w:hint="eastAsia" w:ascii="宋体" w:hAnsi="宋体" w:eastAsia="宋体"/>
          <w:kern w:val="0"/>
          <w:highlight w:val="none"/>
          <w:lang w:val="en-US" w:eastAsia="zh-CN"/>
        </w:rPr>
        <w:t>设计、制造、验收标准与规范</w:t>
      </w:r>
      <w:bookmarkEnd w:id="54"/>
      <w:bookmarkEnd w:id="55"/>
      <w:bookmarkEnd w:id="56"/>
      <w:bookmarkEnd w:id="57"/>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水泥工业大气污染物排放标准》        GB4915-2013;</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《采暖通风与空气调节设计规范》        GB50019—2003；</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《工业企业设计卫生标准》              GBZ 1—2002；</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《工业企业噪声控制设计规范》          GBJ 87—85；</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《脉冲喷吹类袋式除尘器技术条件》      ZBJ 88011-89</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《环境保护产品技术要求  脉冲喷吹类袋式除尘器》HJ/T328-2006</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《环境保护产品技术要求  袋式除尘器滤袋》 HJ/T327-2006</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《环境保护产品技术要求  袋式除尘器用滤料》HJ/T324-2006</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《环境保护产品技术要求  袋式除尘器用电磁脉冲阀》HJ/T284-2006</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《工业通风机噪声限值》                JB/T8690-1998</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《工业金属管道工程施工及验收规范》    GB50235—97</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《钢结构设计规范》                    GB50017—2003；</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《供配电系统设计规程》  　　　　　　  GB50052—95</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《低压配电装置及线路设计规范》 　　　 GB50054—95</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eastAsia="zh-CN"/>
        </w:rPr>
        <w:t>国家及行业其它现行相关标准规范。</w:t>
      </w:r>
    </w:p>
    <w:p>
      <w:pPr>
        <w:widowControl/>
        <w:spacing w:line="360" w:lineRule="auto"/>
        <w:ind w:firstLine="562" w:firstLineChars="200"/>
        <w:jc w:val="left"/>
        <w:textAlignment w:val="baseline"/>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以上规范，若有新版本，以最新版本为准。</w:t>
      </w:r>
    </w:p>
    <w:p>
      <w:pPr>
        <w:pStyle w:val="3"/>
        <w:spacing w:before="0" w:after="0" w:line="360" w:lineRule="auto"/>
        <w:rPr>
          <w:rFonts w:hint="eastAsia" w:ascii="宋体" w:hAnsi="宋体" w:eastAsia="宋体"/>
          <w:kern w:val="0"/>
          <w:highlight w:val="none"/>
          <w:lang w:val="en-US" w:eastAsia="zh-CN"/>
        </w:rPr>
      </w:pPr>
      <w:r>
        <w:rPr>
          <w:rFonts w:hint="eastAsia" w:ascii="宋体" w:hAnsi="宋体" w:eastAsia="宋体"/>
          <w:kern w:val="0"/>
          <w:highlight w:val="none"/>
          <w:lang w:val="en-US" w:eastAsia="zh-CN"/>
        </w:rPr>
        <w:t xml:space="preserve">2.3. 设备设计要求 </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val="en-US" w:eastAsia="zh-CN"/>
        </w:rPr>
        <w:t xml:space="preserve">1）罐类和箱类设备选用耐温耐腐材料； </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val="en-US" w:eastAsia="zh-CN"/>
        </w:rPr>
        <w:t xml:space="preserve">2）对所有与粉尘接触的管道、风机做防腐处理； </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val="en-US" w:eastAsia="zh-CN"/>
        </w:rPr>
        <w:t>3）对于易燃易爆粉尘环境，设备需要做防爆处理。</w:t>
      </w:r>
    </w:p>
    <w:p>
      <w:pPr>
        <w:pStyle w:val="3"/>
        <w:spacing w:before="0" w:after="0" w:line="360" w:lineRule="auto"/>
        <w:rPr>
          <w:rFonts w:hint="eastAsia" w:ascii="宋体" w:hAnsi="宋体" w:eastAsia="宋体"/>
          <w:kern w:val="0"/>
          <w:highlight w:val="none"/>
          <w:lang w:val="en-US" w:eastAsia="zh-CN"/>
        </w:rPr>
      </w:pPr>
      <w:bookmarkStart w:id="58" w:name="_Toc5878"/>
      <w:bookmarkStart w:id="59" w:name="_Toc18074"/>
      <w:bookmarkStart w:id="60" w:name="_Toc0"/>
      <w:bookmarkStart w:id="61" w:name="_Toc13950"/>
      <w:bookmarkStart w:id="62" w:name="_Toc27219"/>
      <w:r>
        <w:rPr>
          <w:rFonts w:hint="eastAsia" w:ascii="宋体" w:hAnsi="宋体" w:eastAsia="宋体"/>
          <w:kern w:val="0"/>
          <w:highlight w:val="none"/>
          <w:lang w:val="en-US" w:eastAsia="zh-CN"/>
        </w:rPr>
        <w:t>2.4</w:t>
      </w:r>
      <w:r>
        <w:rPr>
          <w:rFonts w:ascii="宋体" w:hAnsi="宋体" w:eastAsia="宋体"/>
          <w:kern w:val="0"/>
          <w:highlight w:val="none"/>
        </w:rPr>
        <w:t xml:space="preserve">. </w:t>
      </w:r>
      <w:r>
        <w:rPr>
          <w:rFonts w:hint="eastAsia" w:ascii="宋体" w:hAnsi="宋体" w:eastAsia="宋体"/>
          <w:kern w:val="0"/>
          <w:highlight w:val="none"/>
          <w:lang w:val="en-US" w:eastAsia="zh-CN"/>
        </w:rPr>
        <w:t>服务范围及设计指标</w:t>
      </w:r>
      <w:bookmarkEnd w:id="58"/>
      <w:bookmarkEnd w:id="59"/>
      <w:bookmarkEnd w:id="60"/>
      <w:bookmarkEnd w:id="61"/>
      <w:bookmarkEnd w:id="62"/>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（1）服务范围</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本项目除尘系统服务包括并不限于建筑垃圾堆放车间、破碎筛分车间、骨料存储车间、制砖及水稳车间等；</w:t>
      </w:r>
    </w:p>
    <w:p>
      <w:pPr>
        <w:widowControl/>
        <w:spacing w:line="360" w:lineRule="auto"/>
        <w:ind w:firstLine="560" w:firstLineChars="200"/>
        <w:jc w:val="left"/>
        <w:textAlignment w:val="baseline"/>
        <w:rPr>
          <w:rFonts w:hint="eastAsia" w:ascii="宋体" w:hAnsi="宋体" w:eastAsia="宋体" w:cs="宋体"/>
          <w:bCs/>
          <w:sz w:val="28"/>
          <w:szCs w:val="28"/>
          <w:highlight w:val="none"/>
          <w:lang w:eastAsia="zh-CN"/>
        </w:rPr>
      </w:pPr>
      <w:r>
        <w:rPr>
          <w:rFonts w:hint="eastAsia" w:ascii="宋体" w:hAnsi="宋体" w:eastAsia="宋体" w:cs="宋体"/>
          <w:bCs/>
          <w:sz w:val="28"/>
          <w:szCs w:val="28"/>
          <w:highlight w:val="none"/>
          <w:lang w:val="en-US" w:eastAsia="zh-CN"/>
        </w:rPr>
        <w:t>（2）设计指标</w:t>
      </w:r>
      <w:r>
        <w:rPr>
          <w:rFonts w:hint="eastAsia" w:ascii="宋体" w:hAnsi="宋体" w:eastAsia="宋体" w:cs="宋体"/>
          <w:bCs/>
          <w:sz w:val="28"/>
          <w:szCs w:val="28"/>
          <w:highlight w:val="none"/>
          <w:lang w:eastAsia="zh-CN"/>
        </w:rPr>
        <w:t xml:space="preserve">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本项目除尘系统可由投标人在设计图的基础上按照经济合理、安装维修方便、与其他设施、设备无冲突的原则是由投标人自行配置，但系统应保证满足</w:t>
      </w:r>
      <w:r>
        <w:rPr>
          <w:rFonts w:hint="eastAsia" w:ascii="宋体" w:hAnsi="宋体" w:eastAsia="宋体" w:cs="宋体"/>
          <w:b/>
          <w:bCs w:val="0"/>
          <w:sz w:val="28"/>
          <w:szCs w:val="28"/>
          <w:highlight w:val="none"/>
          <w:lang w:val="en-US" w:eastAsia="zh-CN"/>
        </w:rPr>
        <w:t>黄环下审[2018]28号《关于黄石市环境投资有限责任公司黄石市建筑材料循环利用项目环境影响报告表的批复》</w:t>
      </w:r>
      <w:r>
        <w:rPr>
          <w:rFonts w:hint="eastAsia" w:ascii="宋体" w:hAnsi="宋体" w:eastAsia="宋体" w:cs="宋体"/>
          <w:bCs/>
          <w:sz w:val="28"/>
          <w:szCs w:val="28"/>
          <w:highlight w:val="none"/>
          <w:lang w:val="en-US" w:eastAsia="zh-CN"/>
        </w:rPr>
        <w:t>的相关要求，并能通过行政主管部门组织的验收。</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生产线破碎、筛分、搅拌、配料等工序产生的粉尘经集气罩+脉冲除尘器收集处理后通过15m以上排气筒高空排放，尾气排放需满足GB4915-2013《水泥工业大气污染物排放标准》中表2标准限值要求；对料场采取彩钢板封闭、洒水湿润等，骨料运输采取密封传输带，运输过程采取地面硬化、减速、加盖帆布、清洗进出车辆轮胎、经常打扫和冲洗道路等，装卸过程保持砂石清洁和含水量、喷洒抑尘、降低物料转运落差等来降低运输、装卸、料场及生产过程粉尘的产生和排放，厂区无组织粉尘排放需满足GB4915-2013《水泥工业大气污染物排放标准》中的表3限值要求。</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（3）设计条件</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 供电条件：低压380V，50HZ标准电源；本项目已配置1600KVA容量变压器，经初步复核，本除尘系统所有设备用电负荷不得超过250kW。</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水源条件：市政水源，压力0.15MPa。</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400" w:after="400" w:line="600" w:lineRule="auto"/>
        <w:jc w:val="center"/>
        <w:textAlignment w:val="auto"/>
        <w:rPr>
          <w:rFonts w:hint="eastAsia"/>
          <w:kern w:val="0"/>
          <w:highlight w:val="none"/>
          <w:lang w:val="en-US" w:eastAsia="zh-CN"/>
        </w:rPr>
      </w:pPr>
      <w:bookmarkStart w:id="63" w:name="_Toc7480"/>
      <w:bookmarkStart w:id="64" w:name="_Toc21848"/>
      <w:bookmarkStart w:id="65" w:name="_Toc30354"/>
      <w:bookmarkStart w:id="66" w:name="_Toc4845"/>
      <w:bookmarkStart w:id="67" w:name="_Toc16377"/>
      <w:r>
        <w:rPr>
          <w:rFonts w:hint="eastAsia"/>
          <w:kern w:val="0"/>
          <w:highlight w:val="none"/>
          <w:lang w:val="en-US" w:eastAsia="zh-CN"/>
        </w:rPr>
        <w:t>三、产尘点分析</w:t>
      </w:r>
      <w:bookmarkEnd w:id="63"/>
      <w:bookmarkEnd w:id="64"/>
      <w:bookmarkEnd w:id="65"/>
      <w:bookmarkEnd w:id="66"/>
      <w:bookmarkEnd w:id="67"/>
      <w:r>
        <w:rPr>
          <w:rFonts w:hint="eastAsia"/>
          <w:kern w:val="0"/>
          <w:highlight w:val="none"/>
          <w:lang w:val="en-US" w:eastAsia="zh-CN"/>
        </w:rPr>
        <w:t xml:space="preserve">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建筑垃圾堆放、倾倒、输送、破碎、筛分、装载等等工序中均会产生不同影响程度的粉尘，粉尘主要为尘土和石料微细颗粒。根据建筑垃圾处理工艺流程，主要的起尘点及其产生情况如下：</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68" w:name="_Toc11659"/>
      <w:bookmarkStart w:id="69" w:name="_Toc3164"/>
      <w:bookmarkStart w:id="70" w:name="_Toc4724"/>
      <w:bookmarkStart w:id="71" w:name="_Toc24975"/>
      <w:r>
        <w:rPr>
          <w:rFonts w:hint="eastAsia" w:ascii="宋体" w:hAnsi="宋体" w:eastAsia="宋体" w:cs="宋体"/>
          <w:bCs/>
          <w:sz w:val="28"/>
          <w:szCs w:val="28"/>
          <w:highlight w:val="none"/>
          <w:lang w:val="en-US" w:eastAsia="zh-CN"/>
        </w:rPr>
        <w:t>（1）建筑垃圾卸料堆放区</w:t>
      </w:r>
      <w:bookmarkEnd w:id="68"/>
      <w:bookmarkEnd w:id="69"/>
      <w:bookmarkEnd w:id="70"/>
      <w:bookmarkEnd w:id="71"/>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建筑垃圾从运输车卸料至垃圾堆放区的过程中因高度落差易产生扬尘，特点是工作区域完全敞开，空间大，倾倒瞬时粉尘浓度高，粉尘浓度变化剧烈，粉尘易于沉降。粉尘漂浮量与倾倒方式、物料性质、卸料高度、卸料速度、横向风速等因素有很大关系。此处粉尘多为大颗粒，易于沉降。车辆本身及泄漏至地面的物料也是产生扬尘的原因。</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72" w:name="_Toc30922"/>
      <w:bookmarkStart w:id="73" w:name="_Toc3120"/>
      <w:bookmarkStart w:id="74" w:name="_Toc30564"/>
      <w:bookmarkStart w:id="75" w:name="_Toc2606"/>
      <w:r>
        <w:rPr>
          <w:rFonts w:hint="eastAsia" w:ascii="宋体" w:hAnsi="宋体" w:eastAsia="宋体" w:cs="宋体"/>
          <w:bCs/>
          <w:sz w:val="28"/>
          <w:szCs w:val="28"/>
          <w:highlight w:val="none"/>
          <w:lang w:val="en-US" w:eastAsia="zh-CN"/>
        </w:rPr>
        <w:t>（2）上料环节</w:t>
      </w:r>
      <w:bookmarkEnd w:id="72"/>
      <w:bookmarkEnd w:id="73"/>
      <w:bookmarkEnd w:id="74"/>
      <w:bookmarkEnd w:id="75"/>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建筑垃圾原料经铲车上料入仓，上料过程10-40秒，因高度差易瞬时有较大起尘产生，具有集中、瞬时、高浓度及不易密封的特点。</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76" w:name="_Toc23169"/>
      <w:bookmarkStart w:id="77" w:name="_Toc22825"/>
      <w:bookmarkStart w:id="78" w:name="_Toc10935"/>
      <w:bookmarkStart w:id="79" w:name="_Toc5316"/>
      <w:r>
        <w:rPr>
          <w:rFonts w:hint="eastAsia" w:ascii="宋体" w:hAnsi="宋体" w:eastAsia="宋体" w:cs="宋体"/>
          <w:bCs/>
          <w:sz w:val="28"/>
          <w:szCs w:val="28"/>
          <w:highlight w:val="none"/>
          <w:lang w:val="en-US" w:eastAsia="zh-CN"/>
        </w:rPr>
        <w:t>（3）颚式破碎机</w:t>
      </w:r>
      <w:bookmarkEnd w:id="76"/>
      <w:bookmarkEnd w:id="77"/>
      <w:bookmarkEnd w:id="78"/>
      <w:bookmarkEnd w:id="79"/>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破碎机的扬尘特点是当垂直进料口与出料口高度差H&gt;2000mm时，上部产生的粉尘主要是物料动诱导的空气流动、剪切气流作用引起的，在处理过程中下降过程中由于剪切气流最用和下降到皮带机冲击震荡扬起的粉尘，在处理过下降过程中由于剪切气流最用和下降到皮带机冲击震荡扬起的粉尘，在处理过要想办法使粉尘与物料之间的结合力大于下降过程中的剪切气流的剪切力；下部产生的粉尘主要是经过破碎机的冲击而产生新的干燥面与细小颗粒物料，在下降过程中由于剪切气流最用和下降到皮带机冲击震荡扬起的粉尘，在处理过程中要想办法使粉尘不外溢或者使粉尘与物料之间的结合力大于下降过程中的剪切气流的剪切力和冲击皮带产生的振动力。</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80" w:name="_Toc27850"/>
      <w:bookmarkStart w:id="81" w:name="_Toc32433"/>
      <w:bookmarkStart w:id="82" w:name="_Toc3889"/>
      <w:bookmarkStart w:id="83" w:name="_Toc18872"/>
      <w:r>
        <w:rPr>
          <w:rFonts w:hint="eastAsia" w:ascii="宋体" w:hAnsi="宋体" w:eastAsia="宋体" w:cs="宋体"/>
          <w:bCs/>
          <w:sz w:val="28"/>
          <w:szCs w:val="28"/>
          <w:highlight w:val="none"/>
          <w:lang w:val="en-US" w:eastAsia="zh-CN"/>
        </w:rPr>
        <w:t>（4）皮带转接处</w:t>
      </w:r>
      <w:bookmarkEnd w:id="80"/>
      <w:bookmarkEnd w:id="81"/>
      <w:bookmarkEnd w:id="82"/>
      <w:bookmarkEnd w:id="83"/>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皮带转接处产生的粉尘在不采取外界措施的情况下是显而易见。皮带转接粉尘的特点是粉尘浓度高、集中、不易密封、物料转运速度快、物料转运高度落差大等。采用传统方式时的投资较大、检修不方便、能耗高、扑捉率低。</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84" w:name="_Toc18063"/>
      <w:bookmarkStart w:id="85" w:name="_Toc19026"/>
      <w:bookmarkStart w:id="86" w:name="_Toc30693"/>
      <w:bookmarkStart w:id="87" w:name="_Toc4929"/>
      <w:r>
        <w:rPr>
          <w:rFonts w:hint="eastAsia" w:ascii="宋体" w:hAnsi="宋体" w:eastAsia="宋体" w:cs="宋体"/>
          <w:bCs/>
          <w:sz w:val="28"/>
          <w:szCs w:val="28"/>
          <w:highlight w:val="none"/>
          <w:lang w:val="en-US" w:eastAsia="zh-CN"/>
        </w:rPr>
        <w:t>（5）反击破</w:t>
      </w:r>
      <w:bookmarkEnd w:id="84"/>
      <w:bookmarkEnd w:id="85"/>
      <w:bookmarkEnd w:id="86"/>
      <w:bookmarkEnd w:id="87"/>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反击式破碎机破碎形式为冲击式破碎，进出料口都有较大的粉尘产生，尤其是破碎机落料及皮带受料点。反击破碎机产生的粉尘的特点是粉尘浓度高、面积大、不易密封、物料转运速度快、物料转运高度落差大等。采用传统方式时的投资较大、检修不方便、能耗高。</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88" w:name="_Toc29727"/>
      <w:bookmarkStart w:id="89" w:name="_Toc23943"/>
      <w:bookmarkStart w:id="90" w:name="_Toc1151"/>
      <w:bookmarkStart w:id="91" w:name="_Toc11090"/>
      <w:r>
        <w:rPr>
          <w:rFonts w:hint="eastAsia" w:ascii="宋体" w:hAnsi="宋体" w:eastAsia="宋体" w:cs="宋体"/>
          <w:bCs/>
          <w:sz w:val="28"/>
          <w:szCs w:val="28"/>
          <w:highlight w:val="none"/>
          <w:lang w:val="en-US" w:eastAsia="zh-CN"/>
        </w:rPr>
        <w:t>（6）振动筛</w:t>
      </w:r>
      <w:bookmarkEnd w:id="88"/>
      <w:bookmarkEnd w:id="89"/>
      <w:bookmarkEnd w:id="90"/>
      <w:bookmarkEnd w:id="91"/>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振动筛分机产尘原因主要为前序工艺物料自身携带的粉尘，通过物料在筛面上的低幅高频振动以及物料间的碰撞所产生的飘散；另外还有筛下物到输送带由于落差所产生的冲击而造成的扬尘。筛分机粉尘的特点是粉尘浓度高、面积大、不易密封、物料转运速度快、物料转运高度落差大等。在处理时中需注意对前序生产工艺中所产生的粉尘进行捕捉，最大限度的减少物料进入筛分机时的粉尘携带。同时，在不影响生产的情况下进行封闭，使粉尘不外溢。</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92" w:name="_Toc24218"/>
      <w:bookmarkStart w:id="93" w:name="_Toc28118"/>
      <w:bookmarkStart w:id="94" w:name="_Toc22949"/>
      <w:bookmarkStart w:id="95" w:name="_Toc31364"/>
      <w:r>
        <w:rPr>
          <w:rFonts w:hint="eastAsia" w:ascii="宋体" w:hAnsi="宋体" w:eastAsia="宋体" w:cs="宋体"/>
          <w:bCs/>
          <w:sz w:val="28"/>
          <w:szCs w:val="28"/>
          <w:highlight w:val="none"/>
          <w:lang w:val="en-US" w:eastAsia="zh-CN"/>
        </w:rPr>
        <w:t>（7）骨料仓皮带落料点</w:t>
      </w:r>
      <w:bookmarkEnd w:id="92"/>
      <w:bookmarkEnd w:id="93"/>
      <w:bookmarkEnd w:id="94"/>
      <w:bookmarkEnd w:id="95"/>
      <w:r>
        <w:rPr>
          <w:rFonts w:hint="eastAsia" w:ascii="宋体" w:hAnsi="宋体" w:eastAsia="宋体" w:cs="宋体"/>
          <w:bCs/>
          <w:sz w:val="28"/>
          <w:szCs w:val="28"/>
          <w:highlight w:val="none"/>
          <w:lang w:val="en-US" w:eastAsia="zh-CN"/>
        </w:rPr>
        <w:t xml:space="preserve">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九个骨料仓落料至料仓，装车及车辆场内运输时，粉尘为无组织排放，特点是空间落差较高，且不能完全密封，粉尘浓度变化剧烈使得粉尘快速向周边扩散造成污染。由于扬点高，所以受到气流剪切力比较明显，如果是细微颗粒物料，在此处的粉尘漂浮量将大大增加；堆积大面积的物料在高温风化作用下使物料表面积产生细微粉尘，微风或震动作用引起大面积的无序、不规则粉尘漂浮。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96" w:name="_Toc7174"/>
      <w:bookmarkStart w:id="97" w:name="_Toc31146"/>
      <w:bookmarkStart w:id="98" w:name="_Toc3876"/>
      <w:bookmarkStart w:id="99" w:name="_Toc29330"/>
      <w:r>
        <w:rPr>
          <w:rFonts w:hint="eastAsia" w:ascii="宋体" w:hAnsi="宋体" w:eastAsia="宋体" w:cs="宋体"/>
          <w:bCs/>
          <w:sz w:val="28"/>
          <w:szCs w:val="28"/>
          <w:highlight w:val="none"/>
          <w:lang w:val="en-US" w:eastAsia="zh-CN"/>
        </w:rPr>
        <w:t>（8）水稳和制砖区</w:t>
      </w:r>
      <w:bookmarkEnd w:id="96"/>
      <w:bookmarkEnd w:id="97"/>
      <w:bookmarkEnd w:id="98"/>
      <w:bookmarkEnd w:id="99"/>
      <w:r>
        <w:rPr>
          <w:rFonts w:hint="eastAsia" w:ascii="宋体" w:hAnsi="宋体" w:eastAsia="宋体" w:cs="宋体"/>
          <w:bCs/>
          <w:sz w:val="28"/>
          <w:szCs w:val="28"/>
          <w:highlight w:val="none"/>
          <w:lang w:val="en-US" w:eastAsia="zh-CN"/>
        </w:rPr>
        <w:t xml:space="preserve">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水稳线和制砖线是输料时的落差产生的扬尘，倾倒原料进入制砖区域的储料空间。特点是输送点较高，而且面积广且不能完全密封，粉尘浓度变化剧烈。</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400" w:after="400" w:line="600" w:lineRule="auto"/>
        <w:jc w:val="center"/>
        <w:textAlignment w:val="auto"/>
        <w:rPr>
          <w:rFonts w:hint="eastAsia"/>
          <w:kern w:val="0"/>
          <w:highlight w:val="none"/>
          <w:lang w:val="en-US" w:eastAsia="zh-CN"/>
        </w:rPr>
      </w:pPr>
      <w:bookmarkStart w:id="100" w:name="_Toc32194"/>
      <w:bookmarkStart w:id="101" w:name="_Toc27231"/>
      <w:bookmarkStart w:id="102" w:name="_Toc4180"/>
      <w:bookmarkStart w:id="103" w:name="_Toc24107"/>
      <w:bookmarkStart w:id="104" w:name="_Toc5636"/>
      <w:r>
        <w:rPr>
          <w:rFonts w:hint="eastAsia"/>
          <w:kern w:val="0"/>
          <w:highlight w:val="none"/>
          <w:lang w:val="en-US" w:eastAsia="zh-CN"/>
        </w:rPr>
        <w:t>四、</w:t>
      </w:r>
      <w:bookmarkEnd w:id="100"/>
      <w:r>
        <w:rPr>
          <w:rFonts w:hint="eastAsia"/>
          <w:kern w:val="0"/>
          <w:highlight w:val="none"/>
          <w:lang w:val="en-US" w:eastAsia="zh-CN"/>
        </w:rPr>
        <w:t>粉尘治理方案</w:t>
      </w:r>
      <w:bookmarkEnd w:id="101"/>
      <w:bookmarkEnd w:id="102"/>
      <w:bookmarkEnd w:id="103"/>
      <w:bookmarkEnd w:id="104"/>
      <w:r>
        <w:rPr>
          <w:rFonts w:hint="eastAsia"/>
          <w:kern w:val="0"/>
          <w:highlight w:val="none"/>
          <w:lang w:val="en-US" w:eastAsia="zh-CN"/>
        </w:rPr>
        <w:t xml:space="preserve"> </w:t>
      </w:r>
    </w:p>
    <w:p>
      <w:pPr>
        <w:pStyle w:val="3"/>
        <w:spacing w:before="0" w:after="0" w:line="360" w:lineRule="auto"/>
        <w:rPr>
          <w:rFonts w:hint="eastAsia" w:ascii="宋体" w:hAnsi="宋体" w:eastAsia="宋体"/>
          <w:kern w:val="0"/>
          <w:highlight w:val="none"/>
          <w:lang w:val="en-US" w:eastAsia="zh-CN"/>
        </w:rPr>
      </w:pPr>
      <w:bookmarkStart w:id="105" w:name="_Toc23476"/>
      <w:bookmarkStart w:id="106" w:name="_Toc26890"/>
      <w:bookmarkStart w:id="107" w:name="_Toc23555"/>
      <w:bookmarkStart w:id="108" w:name="_Toc32094"/>
      <w:bookmarkStart w:id="109" w:name="_Toc10588"/>
      <w:r>
        <w:rPr>
          <w:rFonts w:hint="eastAsia" w:ascii="宋体" w:hAnsi="宋体" w:eastAsia="宋体"/>
          <w:kern w:val="0"/>
          <w:highlight w:val="none"/>
          <w:lang w:val="en-US" w:eastAsia="zh-CN"/>
        </w:rPr>
        <w:t>4.1. 性能指标</w:t>
      </w:r>
      <w:bookmarkEnd w:id="105"/>
      <w:bookmarkEnd w:id="106"/>
      <w:bookmarkEnd w:id="107"/>
      <w:bookmarkEnd w:id="108"/>
      <w:bookmarkEnd w:id="109"/>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（1）烟尘捕集：进入烟罩内的粉尘95%以上捕集；</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（2）烟尘排放浓度≤10mg/Nm</w:t>
      </w:r>
      <w:r>
        <w:rPr>
          <w:rFonts w:hint="eastAsia" w:ascii="宋体" w:hAnsi="宋体" w:eastAsia="宋体" w:cs="宋体"/>
          <w:bCs/>
          <w:sz w:val="28"/>
          <w:szCs w:val="28"/>
          <w:highlight w:val="none"/>
          <w:vertAlign w:val="superscript"/>
          <w:lang w:val="en-US" w:eastAsia="zh-CN"/>
        </w:rPr>
        <w:t>3</w:t>
      </w:r>
      <w:r>
        <w:rPr>
          <w:rFonts w:hint="eastAsia" w:ascii="宋体" w:hAnsi="宋体" w:eastAsia="宋体" w:cs="宋体"/>
          <w:bCs/>
          <w:sz w:val="28"/>
          <w:szCs w:val="28"/>
          <w:highlight w:val="none"/>
          <w:lang w:val="en-US" w:eastAsia="zh-CN"/>
        </w:rPr>
        <w:t>；</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（3）符合国家环保制定的有关规范和要求。</w:t>
      </w:r>
    </w:p>
    <w:p>
      <w:pPr>
        <w:pStyle w:val="3"/>
        <w:spacing w:before="0" w:after="0" w:line="360" w:lineRule="auto"/>
        <w:rPr>
          <w:rFonts w:hint="eastAsia" w:ascii="宋体" w:hAnsi="宋体" w:eastAsia="宋体"/>
          <w:kern w:val="0"/>
          <w:highlight w:val="none"/>
          <w:lang w:val="en-US" w:eastAsia="zh-CN"/>
        </w:rPr>
      </w:pPr>
      <w:bookmarkStart w:id="110" w:name="_Toc2083"/>
      <w:bookmarkStart w:id="111" w:name="_Toc1486"/>
      <w:bookmarkStart w:id="112" w:name="_Toc28086"/>
      <w:bookmarkStart w:id="113" w:name="_Toc24684"/>
      <w:bookmarkStart w:id="114" w:name="_Toc3669"/>
      <w:r>
        <w:rPr>
          <w:rFonts w:hint="eastAsia" w:ascii="宋体" w:hAnsi="宋体" w:eastAsia="宋体"/>
          <w:kern w:val="0"/>
          <w:highlight w:val="none"/>
          <w:lang w:val="en-US" w:eastAsia="zh-CN"/>
        </w:rPr>
        <w:t>4.2. 技术总体方案</w:t>
      </w:r>
      <w:bookmarkEnd w:id="110"/>
      <w:bookmarkEnd w:id="111"/>
      <w:bookmarkEnd w:id="112"/>
      <w:bookmarkEnd w:id="113"/>
      <w:bookmarkEnd w:id="114"/>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default"/>
          <w:highlight w:val="none"/>
          <w:lang w:val="en-US" w:eastAsia="zh-CN"/>
        </w:rPr>
      </w:pPr>
      <w:r>
        <w:rPr>
          <w:rFonts w:hint="eastAsia"/>
          <w:highlight w:val="none"/>
          <w:lang w:val="en-US" w:eastAsia="zh-CN"/>
        </w:rPr>
        <w:t>4.2.1. 治理分区</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项目已经在前期根据特定条件实施了应急治理方案，本次为在应急方案后再进行完善治理。按照经济实用的原则，将本方案中处理的区域分为四大块，分别是原料堆放区、破碎筛分区、骨料存储区以及制砖水稳区分区设计。</w:t>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default"/>
          <w:b/>
          <w:highlight w:val="none"/>
          <w:lang w:val="en-US" w:eastAsia="zh-CN"/>
        </w:rPr>
      </w:pPr>
      <w:r>
        <w:rPr>
          <w:rFonts w:hint="eastAsia"/>
          <w:b/>
          <w:highlight w:val="none"/>
          <w:lang w:val="en-US" w:eastAsia="zh-CN"/>
        </w:rPr>
        <w:t>4.2.2. 原料堆放区</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（1）干雾抑尘</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原料堆放区由原料堆放区及破碎生产线组成，原料堆放区扬尘点分别为原料入厂卸料产生灰尘、原料转运产生灰尘及原料首次破碎扬尘，其中原料入厂卸料及原料转运这两次扬尘点都具有不规律移动性，并不适用于封闭式收尘设备，故该处采用干雾抑尘装置或移动式雾炮抑尘。结合前期应急治理方案，此区域已设置两套雾炮抑尘系统，根据评审专家意见，此区域（进料区）采用增设干雾抑尘装置。</w:t>
      </w:r>
    </w:p>
    <w:p>
      <w:pPr>
        <w:widowControl/>
        <w:numPr>
          <w:ilvl w:val="0"/>
          <w:numId w:val="1"/>
        </w:numPr>
        <w:spacing w:line="360" w:lineRule="auto"/>
        <w:ind w:left="0" w:leftChars="0"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建筑垃圾堆放车间（进料区）顶部吊顶安装一套双流体干雾抑尘装置，分为两个区域，每个区域可单独控制启停，且布置雷达感应装置，当检测到车辆在此进行卸料作业时，自动开启干雾抑尘装置，喷射出的水雾增加空气的湿度，高效降低扬尘，同时不会造成含水率过高而影响建筑垃圾处理生产线的工作；也可以设置为间断喷雾。</w:t>
      </w:r>
    </w:p>
    <w:p>
      <w:pPr>
        <w:widowControl/>
        <w:numPr>
          <w:ilvl w:val="0"/>
          <w:numId w:val="1"/>
        </w:numPr>
        <w:spacing w:line="360" w:lineRule="auto"/>
        <w:ind w:left="0" w:leftChars="0"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堆放车间干雾抑尘区域面积约1100平方米，干雾喷嘴布置高度为5.0米（可避免装卸车碰撞损坏），喷嘴间距为5米，堆放车间共计布置5排，实现区域全覆盖，合计喷嘴共50个。</w:t>
      </w:r>
    </w:p>
    <w:p>
      <w:pPr>
        <w:widowControl/>
        <w:numPr>
          <w:ilvl w:val="0"/>
          <w:numId w:val="1"/>
        </w:numPr>
        <w:spacing w:line="360" w:lineRule="auto"/>
        <w:ind w:left="0" w:leftChars="0"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干雾系统配置包括主机、空压机、储气罐、多级过滤装置、分区控制箱、就地控制箱、电磁阀组、雷达微波感应器、管路（含高压软管）、喷座管汇及雾化喷嘴等。严格控制雾化量，干雾颗粒度为10～20微米，使其物料加湿含水率增加不超过1.0％。 </w:t>
      </w:r>
    </w:p>
    <w:p>
      <w:pPr>
        <w:keepNext w:val="0"/>
        <w:keepLines w:val="0"/>
        <w:widowControl/>
        <w:suppressLineNumbers w:val="0"/>
        <w:jc w:val="center"/>
        <w:rPr>
          <w:highlight w:val="none"/>
        </w:rPr>
      </w:pPr>
      <w:r>
        <w:rPr>
          <w:rFonts w:ascii="宋体" w:hAnsi="宋体" w:eastAsia="宋体" w:cs="宋体"/>
          <w:kern w:val="0"/>
          <w:sz w:val="24"/>
          <w:szCs w:val="24"/>
          <w:highlight w:val="none"/>
          <w:lang w:val="en-US" w:eastAsia="zh-CN" w:bidi="ar"/>
        </w:rPr>
        <w:drawing>
          <wp:inline distT="0" distB="0" distL="114300" distR="114300">
            <wp:extent cx="4679950" cy="4488180"/>
            <wp:effectExtent l="0" t="0" r="13970" b="7620"/>
            <wp:docPr id="3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descr="IMG_256"/>
                    <pic:cNvPicPr>
                      <a:picLocks noChangeAspect="1"/>
                    </pic:cNvPicPr>
                  </pic:nvPicPr>
                  <pic:blipFill>
                    <a:blip r:embed="rId7"/>
                    <a:stretch>
                      <a:fillRect/>
                    </a:stretch>
                  </pic:blipFill>
                  <pic:spPr>
                    <a:xfrm>
                      <a:off x="0" y="0"/>
                      <a:ext cx="4679950" cy="4488180"/>
                    </a:xfrm>
                    <a:prstGeom prst="rect">
                      <a:avLst/>
                    </a:prstGeom>
                    <a:noFill/>
                    <a:ln w="9525">
                      <a:noFill/>
                    </a:ln>
                  </pic:spPr>
                </pic:pic>
              </a:graphicData>
            </a:graphic>
          </wp:inline>
        </w:drawing>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4）在振动给料机料槽上方安装一个顶部吸尘罩，具备负压收尘功能，管道附带手动切换阀；吸尘罩内布置干雾喷雾嘴2个，可与负压收尘交替使用，满足各种情况下的扬尘治理。皮带受料点也设置负压收尘，结合与颚式破碎机受料点的密闭收尘，可实现扬尘流动闭路循环，合理的结合现有设备，并最大化实现扬尘的控制。</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5）渣土外运皮带末端布置干雾抑尘，机头、机尾布置喷嘴数量不低于10个。</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（2）负压除尘</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原料首次破碎扬尘，此扬尘处的扬尘点经现场勘探及实际生产过程的检测检验，主要扬程点有4个，分别是振动给料机入口、鄂式破碎机破入口、鄂式破碎机至1号皮带机下料口、渣土外运皮带机受料口。</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经计算：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鄂式破碎机入口设计风量为15000m³/h，管道大小为Φ540mm。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鄂式破碎机至1号皮带下料口设计风量为3500m³/h，管道大小为Φ273mm。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渣土外运皮带机受料口设计风量为3500m³/h，管道大小为Φ273mm。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计划针对</w:t>
      </w:r>
      <w:r>
        <w:rPr>
          <w:rFonts w:hint="eastAsia" w:ascii="宋体" w:hAnsi="宋体" w:eastAsia="宋体" w:cs="宋体"/>
          <w:bCs/>
          <w:sz w:val="28"/>
          <w:szCs w:val="28"/>
          <w:highlight w:val="none"/>
          <w:lang w:val="en-US" w:eastAsia="zh-CN"/>
        </w:rPr>
        <w:t>振动给料机、鄂式破碎机破等扬尘点设置一套布袋式除尘器。</w:t>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default"/>
          <w:b/>
          <w:highlight w:val="none"/>
          <w:lang w:val="en-US" w:eastAsia="zh-CN"/>
        </w:rPr>
      </w:pPr>
      <w:r>
        <w:rPr>
          <w:rFonts w:hint="eastAsia"/>
          <w:b/>
          <w:highlight w:val="none"/>
          <w:lang w:val="en-US" w:eastAsia="zh-CN"/>
        </w:rPr>
        <w:t>4.3.3. 破碎筛分区</w:t>
      </w:r>
    </w:p>
    <w:p>
      <w:pPr>
        <w:widowControl/>
        <w:spacing w:line="360" w:lineRule="auto"/>
        <w:ind w:firstLine="560" w:firstLineChars="200"/>
        <w:jc w:val="left"/>
        <w:textAlignment w:val="baseline"/>
        <w:rPr>
          <w:rFonts w:ascii="宋体" w:hAnsi="宋体" w:eastAsia="宋体" w:cs="宋体"/>
          <w:bCs/>
          <w:sz w:val="28"/>
          <w:szCs w:val="28"/>
          <w:highlight w:val="none"/>
        </w:rPr>
      </w:pPr>
      <w:r>
        <w:rPr>
          <w:rFonts w:hint="eastAsia" w:ascii="宋体" w:hAnsi="宋体" w:eastAsia="宋体" w:cs="宋体"/>
          <w:bCs/>
          <w:sz w:val="28"/>
          <w:szCs w:val="28"/>
          <w:highlight w:val="none"/>
        </w:rPr>
        <w:t>破碎筛分车间生产线的粉尘主要来源于破碎机、振动筛工作过程中产生的粉尘，主要采用集尘罩+导料槽+布袋除尘系统来降低扬尘。具体措施如下：</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破碎筛分区由1号振动筛、2号振动筛、3号振动筛、反击式破碎机及骨料仓组成，破碎筛分区扬尘点经现场勘察分别为1号振动筛筛顶、1号振动筛出料口（2个）、水洗皮带受料点、2号振动筛筛顶、2号振动筛出料口（2个）、3号振动筛筛顶、3号振动筛出料口（3个）、反击破入口、反击破出料口（1个）、骨料仓皮带机落料口（6个），骨料仓转运皮带至制砖区域皮带落料口（1个），共计20个点。其中骨料仓部分采用干雾抑尘的方式。</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（2）经计算：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1号振动筛筛顶设计风量为15000m³/h，管道大小为Φ540mm。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1号振动筛出料口设计风量为3500m³/h，管道大小为Φ273m。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2号振动筛筛顶设计风量为15000m³/h，管道大小为Φ540mm。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2号振动筛出料口设计风量为3500m³/h，管道大小为Φ273mm。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3号振动筛筛顶设计风量为15000m³/h，管道大小为Φ540mm。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3号振动筛出料口设计风量为3000m³/h，管道大小为Φ273mm。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反击破入口设计风量为8000m³/h，管道大小为Φ400mm。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反击破出料口设计风量为5000m³/h，管道大小为Φ325mm。</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骨料仓转运皮带至制砖区域皮带落料口设计风量为4000m³/h，管道大小为Φ273mm。</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结合前期方案，1号及3号振动筛的单机脉冲布袋除尘器筛顶风量远远超过单机脉冲布袋除尘器的可处理风量，无法达到达标排放，故本次方案中将拆除筛顶吸尘管道，并重新设置管道接到新建的布袋除尘器，前期方案所安装的单机脉冲布袋除尘器仅处理1号及3号振动筛的下料口，经计算可满足下料口的粉尘处理并达标排放，故本方案中不考虑1号及3号振动筛落料口点位。</w:t>
      </w:r>
    </w:p>
    <w:p>
      <w:pPr>
        <w:widowControl/>
        <w:numPr>
          <w:ilvl w:val="0"/>
          <w:numId w:val="2"/>
        </w:numPr>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结合前期方案，反击破处设置的单机脉冲布袋除尘器仅为应急用，实际处理风量不满足反击破所需风量，无法达到达标排放，故将此处前期设置的单机脉冲布袋除尘器拆除，并将其移至2号振动筛的的下料口，单机脉冲布袋除尘器的设计风量为8000m³/h，满足该处的设计风量，保证达标排放。</w:t>
      </w:r>
    </w:p>
    <w:p>
      <w:pPr>
        <w:widowControl/>
        <w:numPr>
          <w:ilvl w:val="0"/>
          <w:numId w:val="2"/>
        </w:numPr>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除上述扬尘点外，各振动筛筛顶及反击破进出口合计设置一套布袋式除尘器。</w:t>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b/>
          <w:highlight w:val="none"/>
          <w:lang w:val="en-US" w:eastAsia="zh-CN"/>
        </w:rPr>
      </w:pPr>
      <w:r>
        <w:rPr>
          <w:rFonts w:hint="eastAsia"/>
          <w:b/>
          <w:highlight w:val="none"/>
          <w:lang w:val="en-US" w:eastAsia="zh-CN"/>
        </w:rPr>
        <w:t>4.3.4. 骨料存储车间</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rPr>
        <w:t xml:space="preserve"> </w:t>
      </w:r>
      <w:r>
        <w:rPr>
          <w:rFonts w:hint="eastAsia" w:ascii="宋体" w:hAnsi="宋体" w:eastAsia="宋体" w:cs="宋体"/>
          <w:bCs/>
          <w:sz w:val="28"/>
          <w:szCs w:val="28"/>
          <w:highlight w:val="none"/>
          <w:lang w:val="en-US" w:eastAsia="zh-CN"/>
        </w:rPr>
        <w:t>经筛分完成分级后的骨料0-5mm、5-8mm、8-12mm、12-25mm，由皮带输送至成品料仓。各料仓落料点由于物料颗粒度小，落差大，无组织扩散性扬尘明显，此处采用收尘将很难控制；物料下落过程冲击皮带也会产生大量扬尘。具体布置方案如下：</w:t>
      </w:r>
    </w:p>
    <w:p>
      <w:pPr>
        <w:widowControl/>
        <w:numPr>
          <w:ilvl w:val="0"/>
          <w:numId w:val="3"/>
        </w:numPr>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骨料存储车间共设置9座骨料仓，每座骨料仓尺寸9.95x4.20m，针对每座骨料仓布置一组喷雾箱，喷嘴间距为5米，每座骨料仓喷嘴数量为5个。</w:t>
      </w:r>
    </w:p>
    <w:p>
      <w:pPr>
        <w:keepNext w:val="0"/>
        <w:keepLines w:val="0"/>
        <w:widowControl/>
        <w:suppressLineNumbers w:val="0"/>
        <w:jc w:val="center"/>
        <w:rPr>
          <w:highlight w:val="none"/>
        </w:rPr>
      </w:pPr>
      <w:r>
        <w:rPr>
          <w:rFonts w:ascii="宋体" w:hAnsi="宋体" w:eastAsia="宋体" w:cs="宋体"/>
          <w:kern w:val="0"/>
          <w:sz w:val="24"/>
          <w:szCs w:val="24"/>
          <w:highlight w:val="none"/>
          <w:lang w:val="en-US" w:eastAsia="zh-CN" w:bidi="ar"/>
        </w:rPr>
        <w:drawing>
          <wp:inline distT="0" distB="0" distL="114300" distR="114300">
            <wp:extent cx="2160270" cy="3978275"/>
            <wp:effectExtent l="0" t="0" r="3810" b="14605"/>
            <wp:docPr id="37"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 descr="IMG_256"/>
                    <pic:cNvPicPr>
                      <a:picLocks noChangeAspect="1"/>
                    </pic:cNvPicPr>
                  </pic:nvPicPr>
                  <pic:blipFill>
                    <a:blip r:embed="rId8"/>
                    <a:stretch>
                      <a:fillRect/>
                    </a:stretch>
                  </pic:blipFill>
                  <pic:spPr>
                    <a:xfrm>
                      <a:off x="0" y="0"/>
                      <a:ext cx="2160270" cy="3978275"/>
                    </a:xfrm>
                    <a:prstGeom prst="rect">
                      <a:avLst/>
                    </a:prstGeom>
                    <a:noFill/>
                    <a:ln w="9525">
                      <a:noFill/>
                    </a:ln>
                  </pic:spPr>
                </pic:pic>
              </a:graphicData>
            </a:graphic>
          </wp:inline>
        </w:drawing>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骨料仓下配料转运皮带共计两个皮带转运点，改点布置转载点干雾抑尘，每个转载点布置6～8个干雾喷嘴，对骨料仓内所有区域及皮带转接站进行覆盖无死角捕捉粉尘，可根据要求定时定量开启，干雾雾滴将快速捕捉悬浮颗粒物，达到捕尘但不会过多增大物料含水率的目的。</w:t>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default"/>
          <w:b/>
          <w:highlight w:val="none"/>
          <w:lang w:val="en-US" w:eastAsia="zh-CN"/>
        </w:rPr>
      </w:pPr>
      <w:r>
        <w:rPr>
          <w:rFonts w:hint="eastAsia"/>
          <w:b/>
          <w:highlight w:val="none"/>
          <w:lang w:val="en-US" w:eastAsia="zh-CN"/>
        </w:rPr>
        <w:t>4.3.4. 制砖水稳车间</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制砖线及水稳线产尘点主要是输送及搅拌配料过程少量扬尘。具体措施如下：</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（1）局部密闭：在骨料输送环节中，上下系统交接处运动部件多，密封难度大，可采用可伸缩的密封结构，即做到了很好的密封，又能使运动部件运动自如。</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（2）推荐采用干雾抑尘系统，对于搅拌机、水泥计量仓、粉煤灰计量仓等部位进行捕捉降尘，可根据要求定时定量开启，干雾雾滴将快速捕捉悬浮颗粒物，达到捕尘但不会过多增大物料含水率的目的。</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（3）水稳车间涉及到的皮带转运点，每个转载点布置2～4个干雾喷嘴，具体可根据实际情况进行调整。</w:t>
      </w:r>
    </w:p>
    <w:p>
      <w:pPr>
        <w:pStyle w:val="3"/>
        <w:spacing w:before="0" w:after="0" w:line="360" w:lineRule="auto"/>
        <w:rPr>
          <w:rFonts w:hint="default" w:ascii="宋体" w:hAnsi="宋体" w:eastAsia="宋体"/>
          <w:kern w:val="0"/>
          <w:highlight w:val="none"/>
          <w:lang w:val="en-US" w:eastAsia="zh-CN"/>
        </w:rPr>
      </w:pPr>
      <w:bookmarkStart w:id="115" w:name="_Toc20821"/>
      <w:bookmarkStart w:id="116" w:name="_Toc31447"/>
      <w:r>
        <w:rPr>
          <w:rFonts w:hint="eastAsia" w:ascii="宋体" w:hAnsi="宋体" w:eastAsia="宋体"/>
          <w:kern w:val="0"/>
          <w:highlight w:val="none"/>
          <w:lang w:val="en-US" w:eastAsia="zh-CN"/>
        </w:rPr>
        <w:t>4.3. 主要设备系统</w:t>
      </w:r>
      <w:bookmarkEnd w:id="115"/>
      <w:bookmarkEnd w:id="116"/>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本项目前期已设置2套移动式雾炮、3套布袋式负压除尘器，后续治理方案新增主要设备包括2套干雾抑尘系统、2套布袋式负压除尘系统以及破碎筛分设备封闭措施、密闭导料槽、管道、挡尘帘及其它辅材。</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536"/>
        <w:gridCol w:w="2455"/>
        <w:gridCol w:w="784"/>
        <w:gridCol w:w="3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901" w:type="pct"/>
            <w:vAlign w:val="center"/>
          </w:tcPr>
          <w:p>
            <w:pPr>
              <w:widowControl/>
              <w:spacing w:line="36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设备名称</w:t>
            </w:r>
          </w:p>
        </w:tc>
        <w:tc>
          <w:tcPr>
            <w:tcW w:w="1440" w:type="pct"/>
            <w:vAlign w:val="center"/>
          </w:tcPr>
          <w:p>
            <w:pPr>
              <w:widowControl/>
              <w:spacing w:line="36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设置区域</w:t>
            </w:r>
          </w:p>
        </w:tc>
        <w:tc>
          <w:tcPr>
            <w:tcW w:w="460" w:type="pct"/>
            <w:tcBorders>
              <w:bottom w:val="single" w:color="auto" w:sz="4" w:space="0"/>
            </w:tcBorders>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数量</w:t>
            </w:r>
          </w:p>
        </w:tc>
        <w:tc>
          <w:tcPr>
            <w:tcW w:w="1765" w:type="pct"/>
            <w:vAlign w:val="center"/>
          </w:tcPr>
          <w:p>
            <w:pPr>
              <w:widowControl/>
              <w:spacing w:line="36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431" w:type="pct"/>
            <w:vMerge w:val="restar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01" w:type="pct"/>
            <w:vMerge w:val="restart"/>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1#干雾抑尘系统</w:t>
            </w:r>
          </w:p>
        </w:tc>
        <w:tc>
          <w:tcPr>
            <w:tcW w:w="1440" w:type="pct"/>
            <w:vMerge w:val="restart"/>
            <w:tcBorders>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建筑垃圾堆放车间（进料区）</w:t>
            </w:r>
          </w:p>
        </w:tc>
        <w:tc>
          <w:tcPr>
            <w:tcW w:w="460" w:type="pct"/>
            <w:vMerge w:val="restart"/>
            <w:tcBorders>
              <w:top w:val="single" w:color="auto" w:sz="4" w:space="0"/>
              <w:left w:val="single" w:color="auto" w:sz="4" w:space="0"/>
              <w:right w:val="single" w:color="auto" w:sz="4" w:space="0"/>
            </w:tcBorders>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1套</w:t>
            </w:r>
          </w:p>
        </w:tc>
        <w:tc>
          <w:tcPr>
            <w:tcW w:w="1765" w:type="pct"/>
            <w:tcBorders>
              <w:lef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外运车辆卸料作业及铲车上料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Merge w:val="restar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901" w:type="pct"/>
            <w:vMerge w:val="restart"/>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1#、2#布袋式负压除尘系统</w:t>
            </w:r>
          </w:p>
        </w:tc>
        <w:tc>
          <w:tcPr>
            <w:tcW w:w="1440" w:type="pct"/>
            <w:vMerge w:val="restart"/>
            <w:tcBorders>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建筑垃圾堆放车间</w:t>
            </w:r>
          </w:p>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破碎筛分车间</w:t>
            </w:r>
          </w:p>
        </w:tc>
        <w:tc>
          <w:tcPr>
            <w:tcW w:w="460" w:type="pct"/>
            <w:vMerge w:val="restart"/>
            <w:tcBorders>
              <w:left w:val="single" w:color="auto" w:sz="4" w:space="0"/>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2套</w:t>
            </w:r>
          </w:p>
        </w:tc>
        <w:tc>
          <w:tcPr>
            <w:tcW w:w="1765" w:type="pct"/>
            <w:tcBorders>
              <w:lef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鄂式破碎机入料口、鄂式破碎机至1号皮带机下料口、渣土外运皮带机受料口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Merge w:val="continue"/>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901" w:type="pct"/>
            <w:vMerge w:val="continue"/>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440" w:type="pct"/>
            <w:vMerge w:val="continue"/>
            <w:tcBorders>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460" w:type="pct"/>
            <w:vMerge w:val="continue"/>
            <w:tcBorders>
              <w:left w:val="single" w:color="auto" w:sz="4" w:space="0"/>
              <w:bottom w:val="single" w:color="auto" w:sz="4" w:space="0"/>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765" w:type="pct"/>
            <w:tcBorders>
              <w:lef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1号振动筛筛顶、2号振动筛筛顶、3号振动筛筛顶、反击破入口、反击破出口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9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3#、4#、5#布袋式负压除尘器</w:t>
            </w:r>
          </w:p>
        </w:tc>
        <w:tc>
          <w:tcPr>
            <w:tcW w:w="1440" w:type="pct"/>
            <w:tcBorders>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破碎筛分车间</w:t>
            </w:r>
          </w:p>
        </w:tc>
        <w:tc>
          <w:tcPr>
            <w:tcW w:w="460" w:type="pct"/>
            <w:tcBorders>
              <w:left w:val="single" w:color="auto" w:sz="4" w:space="0"/>
              <w:bottom w:val="single" w:color="auto" w:sz="4" w:space="0"/>
              <w:right w:val="single" w:color="auto" w:sz="4" w:space="0"/>
            </w:tcBorders>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3套</w:t>
            </w:r>
          </w:p>
        </w:tc>
        <w:tc>
          <w:tcPr>
            <w:tcW w:w="1765" w:type="pct"/>
            <w:tcBorders>
              <w:lef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1号、2号、3号振动筛下料口，现有设备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Merge w:val="restar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901" w:type="pct"/>
            <w:vMerge w:val="restart"/>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2#干雾抑尘系统</w:t>
            </w:r>
          </w:p>
        </w:tc>
        <w:tc>
          <w:tcPr>
            <w:tcW w:w="1440" w:type="pct"/>
            <w:tcBorders>
              <w:right w:val="single" w:color="auto" w:sz="4" w:space="0"/>
            </w:tcBorders>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骨料存储车间</w:t>
            </w:r>
          </w:p>
        </w:tc>
        <w:tc>
          <w:tcPr>
            <w:tcW w:w="460" w:type="pct"/>
            <w:vMerge w:val="restart"/>
            <w:tcBorders>
              <w:left w:val="single" w:color="auto" w:sz="4" w:space="0"/>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1套</w:t>
            </w:r>
          </w:p>
        </w:tc>
        <w:tc>
          <w:tcPr>
            <w:tcW w:w="1765" w:type="pct"/>
            <w:tcBorders>
              <w:lef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骨料仓落料点、秤重皮带转接点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Merge w:val="continue"/>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901" w:type="pct"/>
            <w:vMerge w:val="continue"/>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440" w:type="pct"/>
            <w:tcBorders>
              <w:right w:val="single" w:color="auto" w:sz="4" w:space="0"/>
            </w:tcBorders>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制砖及水稳车间</w:t>
            </w:r>
          </w:p>
        </w:tc>
        <w:tc>
          <w:tcPr>
            <w:tcW w:w="460" w:type="pct"/>
            <w:vMerge w:val="continue"/>
            <w:tcBorders>
              <w:left w:val="single" w:color="auto" w:sz="4" w:space="0"/>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765" w:type="pct"/>
            <w:tcBorders>
              <w:lef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制砖及水稳系统上料仓、转运点及上料斗等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9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移动式雾炮</w:t>
            </w:r>
          </w:p>
        </w:tc>
        <w:tc>
          <w:tcPr>
            <w:tcW w:w="1440" w:type="pct"/>
            <w:tcBorders>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建筑垃圾堆放车间（非进料区）</w:t>
            </w:r>
          </w:p>
        </w:tc>
        <w:tc>
          <w:tcPr>
            <w:tcW w:w="460" w:type="pct"/>
            <w:tcBorders>
              <w:left w:val="single" w:color="auto" w:sz="4" w:space="0"/>
              <w:bottom w:val="single" w:color="auto" w:sz="4" w:space="0"/>
              <w:right w:val="single" w:color="auto" w:sz="4" w:space="0"/>
            </w:tcBorders>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2套</w:t>
            </w:r>
          </w:p>
        </w:tc>
        <w:tc>
          <w:tcPr>
            <w:tcW w:w="1765" w:type="pct"/>
            <w:tcBorders>
              <w:left w:val="single" w:color="auto" w:sz="4" w:space="0"/>
            </w:tcBorders>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外运车辆卸料作业，现有设备</w:t>
            </w:r>
          </w:p>
        </w:tc>
      </w:tr>
    </w:tbl>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2"/>
        <w:keepNext/>
        <w:keepLines/>
        <w:pageBreakBefore w:val="0"/>
        <w:widowControl w:val="0"/>
        <w:numPr>
          <w:ilvl w:val="0"/>
          <w:numId w:val="4"/>
        </w:numPr>
        <w:kinsoku/>
        <w:wordWrap/>
        <w:overflowPunct/>
        <w:topLinePunct w:val="0"/>
        <w:autoSpaceDE/>
        <w:autoSpaceDN/>
        <w:bidi w:val="0"/>
        <w:adjustRightInd/>
        <w:snapToGrid/>
        <w:spacing w:before="400" w:after="400" w:line="600" w:lineRule="auto"/>
        <w:jc w:val="center"/>
        <w:textAlignment w:val="auto"/>
        <w:rPr>
          <w:rFonts w:hint="eastAsia"/>
          <w:kern w:val="0"/>
          <w:highlight w:val="none"/>
          <w:lang w:val="en-US" w:eastAsia="zh-CN"/>
        </w:rPr>
      </w:pPr>
      <w:bookmarkStart w:id="117" w:name="_Toc9876"/>
      <w:bookmarkStart w:id="118" w:name="_Toc10360"/>
      <w:bookmarkStart w:id="119" w:name="_Toc19747"/>
      <w:bookmarkStart w:id="120" w:name="_Toc14651"/>
      <w:r>
        <w:rPr>
          <w:rFonts w:hint="eastAsia"/>
          <w:highlight w:val="none"/>
          <w:lang w:val="en-US" w:eastAsia="zh-CN"/>
        </w:rPr>
        <w:t>干雾抑尘系统</w:t>
      </w:r>
      <w:r>
        <w:rPr>
          <w:rFonts w:hint="eastAsia"/>
          <w:kern w:val="0"/>
          <w:highlight w:val="none"/>
          <w:lang w:val="en-US" w:eastAsia="zh-CN"/>
        </w:rPr>
        <w:t>设计条件及要求</w:t>
      </w:r>
      <w:bookmarkEnd w:id="117"/>
      <w:bookmarkEnd w:id="118"/>
      <w:bookmarkEnd w:id="119"/>
      <w:bookmarkEnd w:id="120"/>
    </w:p>
    <w:p>
      <w:pPr>
        <w:pStyle w:val="3"/>
        <w:spacing w:before="0" w:after="0" w:line="360" w:lineRule="auto"/>
        <w:rPr>
          <w:rFonts w:hint="default" w:ascii="宋体" w:hAnsi="宋体" w:eastAsia="宋体"/>
          <w:kern w:val="0"/>
          <w:highlight w:val="none"/>
          <w:lang w:val="en-US" w:eastAsia="zh-CN"/>
        </w:rPr>
      </w:pPr>
      <w:bookmarkStart w:id="121" w:name="_Toc29323"/>
      <w:bookmarkStart w:id="122" w:name="_Toc24497"/>
      <w:r>
        <w:rPr>
          <w:rFonts w:hint="eastAsia" w:ascii="宋体" w:hAnsi="宋体" w:eastAsia="宋体"/>
          <w:kern w:val="0"/>
          <w:highlight w:val="none"/>
          <w:lang w:val="en-US" w:eastAsia="zh-CN"/>
        </w:rPr>
        <w:t>5.1. 干雾抑尘装置原理及组成</w:t>
      </w:r>
      <w:bookmarkEnd w:id="121"/>
      <w:bookmarkEnd w:id="122"/>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highlight w:val="none"/>
          <w:lang w:val="en-US" w:eastAsia="zh-CN"/>
        </w:rPr>
      </w:pPr>
      <w:r>
        <w:rPr>
          <w:rFonts w:hint="eastAsia"/>
          <w:highlight w:val="none"/>
          <w:lang w:val="en-US" w:eastAsia="zh-CN"/>
        </w:rPr>
        <w:t xml:space="preserve">5.1.1. 干雾抑尘装置原理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微雾抑尘装置是利用微雾微雾器产生的 5-100µm 的微细水雾颗粒（直径 7-15µm的雾称微雾），使粉尘颗粒相互粘结、聚结增大，并在自身重力作用下沉降。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粉尘可以通过水粘结而聚结增大，但那些最细小的粉尘只有当水滴很小（如微雾）或加入化学剂（如表面活性剂）减小水表面张力时才会聚结成团，如图1所示。如果水雾颗粒直径大于粉尘颗粒，那么粉尘仅随水雾颗粒周围气流而运动，水雾颗粒和粉尘颗粒接触很少或者根本没有机会接触，则达不到抑尘作用；如果水雾颗粒与粉尘颗粒大小接近，粉尘颗粒随气流运动时就会与水雾颗粒碰撞、接触而粘结一起。水雾颗粒越小，聚结机率则越大，随着聚结的粉尘团变大加重，从而很容易降落。水雾对粉尘的“捕捉”作用就形成了。</w:t>
      </w:r>
    </w:p>
    <w:p>
      <w:pPr>
        <w:keepNext w:val="0"/>
        <w:keepLines w:val="0"/>
        <w:widowControl/>
        <w:suppressLineNumbers w:val="0"/>
        <w:jc w:val="left"/>
        <w:rPr>
          <w:highlight w:val="none"/>
        </w:rPr>
      </w:pPr>
      <w:r>
        <w:rPr>
          <w:rFonts w:ascii="宋体" w:hAnsi="宋体" w:eastAsia="宋体" w:cs="宋体"/>
          <w:kern w:val="0"/>
          <w:sz w:val="24"/>
          <w:szCs w:val="24"/>
          <w:highlight w:val="none"/>
          <w:lang w:val="en-US" w:eastAsia="zh-CN" w:bidi="ar"/>
        </w:rPr>
        <w:drawing>
          <wp:inline distT="0" distB="0" distL="114300" distR="114300">
            <wp:extent cx="5400040" cy="2423795"/>
            <wp:effectExtent l="0" t="0" r="10160" b="14605"/>
            <wp:docPr id="17"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descr="IMG_256"/>
                    <pic:cNvPicPr>
                      <a:picLocks noChangeAspect="1"/>
                    </pic:cNvPicPr>
                  </pic:nvPicPr>
                  <pic:blipFill>
                    <a:blip r:embed="rId9"/>
                    <a:stretch>
                      <a:fillRect/>
                    </a:stretch>
                  </pic:blipFill>
                  <pic:spPr>
                    <a:xfrm>
                      <a:off x="0" y="0"/>
                      <a:ext cx="5400040" cy="2423795"/>
                    </a:xfrm>
                    <a:prstGeom prst="rect">
                      <a:avLst/>
                    </a:prstGeom>
                    <a:noFill/>
                    <a:ln w="9525">
                      <a:noFill/>
                    </a:ln>
                  </pic:spPr>
                </pic:pic>
              </a:graphicData>
            </a:graphic>
          </wp:inline>
        </w:drawing>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高压微雾抑尘装置是通过高压柱塞泵组，加压水流通过专用喷嘴射出，撞击空气实现雾化，形成上千上万个5-100µm大小的水雾颗粒，如图2所示。水雾颗粒以柔软低速的雾状方式喷射到粉尘发生点，粉尘聚结而坠落，达到抑尘目的。</w:t>
      </w: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highlight w:val="none"/>
        </w:rPr>
        <w:drawing>
          <wp:inline distT="0" distB="0" distL="114300" distR="114300">
            <wp:extent cx="2560320" cy="1908175"/>
            <wp:effectExtent l="0" t="0" r="0" b="12065"/>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pic:cNvPicPr>
                  </pic:nvPicPr>
                  <pic:blipFill>
                    <a:blip r:embed="rId10"/>
                    <a:stretch>
                      <a:fillRect/>
                    </a:stretch>
                  </pic:blipFill>
                  <pic:spPr>
                    <a:xfrm>
                      <a:off x="0" y="0"/>
                      <a:ext cx="2560320" cy="1908175"/>
                    </a:xfrm>
                    <a:prstGeom prst="rect">
                      <a:avLst/>
                    </a:prstGeom>
                    <a:noFill/>
                    <a:ln>
                      <a:noFill/>
                    </a:ln>
                  </pic:spPr>
                </pic:pic>
              </a:graphicData>
            </a:graphic>
          </wp:inline>
        </w:drawing>
      </w:r>
      <w:r>
        <w:rPr>
          <w:highlight w:val="none"/>
        </w:rPr>
        <w:drawing>
          <wp:inline distT="0" distB="0" distL="114300" distR="114300">
            <wp:extent cx="2563495" cy="1908175"/>
            <wp:effectExtent l="0" t="0" r="12065" b="12065"/>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pic:cNvPicPr>
                      <a:picLocks noChangeAspect="1"/>
                    </pic:cNvPicPr>
                  </pic:nvPicPr>
                  <pic:blipFill>
                    <a:blip r:embed="rId11"/>
                    <a:stretch>
                      <a:fillRect/>
                    </a:stretch>
                  </pic:blipFill>
                  <pic:spPr>
                    <a:xfrm>
                      <a:off x="0" y="0"/>
                      <a:ext cx="2563495" cy="1908175"/>
                    </a:xfrm>
                    <a:prstGeom prst="rect">
                      <a:avLst/>
                    </a:prstGeom>
                    <a:noFill/>
                    <a:ln>
                      <a:noFill/>
                    </a:ln>
                  </pic:spPr>
                </pic:pic>
              </a:graphicData>
            </a:graphic>
          </wp:inline>
        </w:drawing>
      </w:r>
      <w:r>
        <w:rPr>
          <w:highlight w:val="none"/>
        </w:rPr>
        <w:drawing>
          <wp:inline distT="0" distB="0" distL="114300" distR="114300">
            <wp:extent cx="2540000" cy="1908175"/>
            <wp:effectExtent l="0" t="0" r="5080" b="12065"/>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pic:cNvPicPr>
                      <a:picLocks noChangeAspect="1"/>
                    </pic:cNvPicPr>
                  </pic:nvPicPr>
                  <pic:blipFill>
                    <a:blip r:embed="rId12"/>
                    <a:stretch>
                      <a:fillRect/>
                    </a:stretch>
                  </pic:blipFill>
                  <pic:spPr>
                    <a:xfrm>
                      <a:off x="0" y="0"/>
                      <a:ext cx="2540000" cy="1908175"/>
                    </a:xfrm>
                    <a:prstGeom prst="rect">
                      <a:avLst/>
                    </a:prstGeom>
                    <a:noFill/>
                    <a:ln>
                      <a:noFill/>
                    </a:ln>
                  </pic:spPr>
                </pic:pic>
              </a:graphicData>
            </a:graphic>
          </wp:inline>
        </w:drawing>
      </w:r>
      <w:r>
        <w:rPr>
          <w:highlight w:val="none"/>
        </w:rPr>
        <w:drawing>
          <wp:inline distT="0" distB="0" distL="114300" distR="114300">
            <wp:extent cx="2690495" cy="1908175"/>
            <wp:effectExtent l="0" t="0" r="6985" b="12065"/>
            <wp:docPr id="2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pic:cNvPicPr>
                      <a:picLocks noChangeAspect="1"/>
                    </pic:cNvPicPr>
                  </pic:nvPicPr>
                  <pic:blipFill>
                    <a:blip r:embed="rId13"/>
                    <a:srcRect r="20729"/>
                    <a:stretch>
                      <a:fillRect/>
                    </a:stretch>
                  </pic:blipFill>
                  <pic:spPr>
                    <a:xfrm>
                      <a:off x="0" y="0"/>
                      <a:ext cx="2690495" cy="1908175"/>
                    </a:xfrm>
                    <a:prstGeom prst="rect">
                      <a:avLst/>
                    </a:prstGeom>
                    <a:noFill/>
                    <a:ln>
                      <a:noFill/>
                    </a:ln>
                  </pic:spPr>
                </pic:pic>
              </a:graphicData>
            </a:graphic>
          </wp:inline>
        </w:drawing>
      </w:r>
    </w:p>
    <w:p>
      <w:pPr>
        <w:widowControl/>
        <w:spacing w:line="360" w:lineRule="auto"/>
        <w:ind w:firstLine="562" w:firstLineChars="200"/>
        <w:jc w:val="center"/>
        <w:textAlignment w:val="baseline"/>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图2 现场效果图</w:t>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highlight w:val="none"/>
          <w:lang w:val="en-US" w:eastAsia="zh-CN"/>
        </w:rPr>
      </w:pPr>
      <w:r>
        <w:rPr>
          <w:rFonts w:hint="eastAsia"/>
          <w:highlight w:val="none"/>
          <w:lang w:val="en-US" w:eastAsia="zh-CN"/>
        </w:rPr>
        <w:t xml:space="preserve">5.1.2. 高压微雾抑尘装置组成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微雾抑尘装置采用模块化设计技术：由微雾主机、喷头总成、承压连接管线、保温系统等组成。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（1）微雾主机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微雾机是将水过滤后，以设定的水压、水流量按开关程序控制控制阀打开或关闭，经管道输送到各分配控制点喷头总成，实现微雾抑尘。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它由电控系统、水处理系统、传感信号输入系统、人机界面等组成。安装在IP55 标准的箱体内，有进水管接口 1 个，出水管接口若干个，排水管接口一个。</w:t>
      </w:r>
    </w:p>
    <w:p>
      <w:pPr>
        <w:widowControl/>
        <w:spacing w:line="360" w:lineRule="auto"/>
        <w:ind w:firstLine="420" w:firstLineChars="200"/>
        <w:jc w:val="left"/>
        <w:textAlignment w:val="baseline"/>
        <w:rPr>
          <w:rFonts w:hint="eastAsia" w:ascii="宋体" w:hAnsi="宋体" w:eastAsia="宋体" w:cs="宋体"/>
          <w:bCs/>
          <w:sz w:val="28"/>
          <w:szCs w:val="28"/>
          <w:highlight w:val="none"/>
          <w:lang w:val="en-US" w:eastAsia="zh-CN"/>
        </w:rPr>
      </w:pPr>
      <w:r>
        <w:rPr>
          <w:highlight w:val="none"/>
        </w:rPr>
        <w:drawing>
          <wp:inline distT="0" distB="0" distL="114300" distR="114300">
            <wp:extent cx="4922520" cy="2964180"/>
            <wp:effectExtent l="0" t="0" r="0" b="7620"/>
            <wp:docPr id="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
                    <pic:cNvPicPr>
                      <a:picLocks noChangeAspect="1"/>
                    </pic:cNvPicPr>
                  </pic:nvPicPr>
                  <pic:blipFill>
                    <a:blip r:embed="rId14"/>
                    <a:stretch>
                      <a:fillRect/>
                    </a:stretch>
                  </pic:blipFill>
                  <pic:spPr>
                    <a:xfrm>
                      <a:off x="0" y="0"/>
                      <a:ext cx="4922520" cy="2964180"/>
                    </a:xfrm>
                    <a:prstGeom prst="rect">
                      <a:avLst/>
                    </a:prstGeom>
                    <a:noFill/>
                    <a:ln>
                      <a:noFill/>
                    </a:ln>
                  </pic:spPr>
                </pic:pic>
              </a:graphicData>
            </a:graphic>
          </wp:inline>
        </w:drawing>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（2）抑尘专用喷嘴（SPRAY 制式，304） </w:t>
      </w:r>
    </w:p>
    <w:p>
      <w:pPr>
        <w:widowControl/>
        <w:spacing w:line="360" w:lineRule="auto"/>
        <w:ind w:firstLine="420" w:firstLineChars="200"/>
        <w:jc w:val="left"/>
        <w:textAlignment w:val="baseline"/>
        <w:rPr>
          <w:rFonts w:hint="default"/>
          <w:highlight w:val="none"/>
          <w:lang w:val="en-US" w:eastAsia="zh-CN"/>
        </w:rPr>
      </w:pPr>
      <w:r>
        <w:rPr>
          <w:highlight w:val="none"/>
        </w:rPr>
        <w:drawing>
          <wp:inline distT="0" distB="0" distL="114300" distR="114300">
            <wp:extent cx="5273040" cy="3162300"/>
            <wp:effectExtent l="0" t="0" r="0" b="762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15"/>
                    <a:stretch>
                      <a:fillRect/>
                    </a:stretch>
                  </pic:blipFill>
                  <pic:spPr>
                    <a:xfrm>
                      <a:off x="0" y="0"/>
                      <a:ext cx="5273040" cy="3162300"/>
                    </a:xfrm>
                    <a:prstGeom prst="rect">
                      <a:avLst/>
                    </a:prstGeom>
                    <a:noFill/>
                    <a:ln>
                      <a:noFill/>
                    </a:ln>
                  </pic:spPr>
                </pic:pic>
              </a:graphicData>
            </a:graphic>
          </wp:inline>
        </w:drawing>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23" w:name="_Toc4923"/>
      <w:bookmarkStart w:id="124" w:name="_Toc25555"/>
      <w:bookmarkStart w:id="125" w:name="_Toc296504874"/>
      <w:r>
        <w:rPr>
          <w:rFonts w:hint="eastAsia" w:ascii="宋体" w:hAnsi="宋体" w:eastAsia="宋体" w:cs="宋体"/>
          <w:bCs/>
          <w:sz w:val="28"/>
          <w:szCs w:val="28"/>
          <w:highlight w:val="none"/>
          <w:lang w:val="en-US" w:eastAsia="zh-CN"/>
        </w:rPr>
        <w:t>（3）电控系统</w:t>
      </w:r>
      <w:bookmarkEnd w:id="123"/>
      <w:bookmarkEnd w:id="124"/>
      <w:bookmarkEnd w:id="125"/>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电控系统是微米级喷雾除尘系统的控制中心，集合了可编程控制器、保护电路、继电器以及与它们相关的元器件。为用户提供自动和手动两种操作模式。在自动操作模式时，可自动接收远程触发信号启动或停止喷雾器喷雾。在手动模式，操作人员可以按压操作按钮启动或停止喷雾器喷雾。用户还可以通过PLC设置接口修改喷雾周期。</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自动控制系统将微米级干雾除尘机与现场设备的控制信号连接起来，以便实现自动控制。</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26" w:name="_Toc296504879"/>
      <w:bookmarkStart w:id="127" w:name="_Toc27832"/>
      <w:bookmarkStart w:id="128" w:name="_Toc12619"/>
      <w:r>
        <w:rPr>
          <w:rFonts w:hint="eastAsia" w:ascii="宋体" w:hAnsi="宋体" w:eastAsia="宋体" w:cs="宋体"/>
          <w:bCs/>
          <w:sz w:val="28"/>
          <w:szCs w:val="28"/>
          <w:highlight w:val="none"/>
          <w:lang w:val="en-US" w:eastAsia="zh-CN"/>
        </w:rPr>
        <w:t>（4）喷雾箱总成控制器/水分配器</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通过对其控制实现水、电主管线与喷雾箱/万向节喷雾器总成的连接，并根据现场情况通过PLC控制实现各喷雾箱/万向节喷雾器总成分别喷雾。本项目中用到的是喷雾箱总成控制器。</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（5）喷雾箱/万向节喷雾器总成</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接收由喷雾除尘机输送来的水并将其转化成颗粒直径为1～10µm的干雾喷射出去，按干雾除尘机的控制指令喷向除尘点。当喷雾与粉尘颗粒相互接触、碰撞时，使粉尘颗粒相互粘结、凝聚变大，并在自身的重力作用下沉降，从而达到除尘的作用。</w:t>
      </w:r>
      <w:bookmarkEnd w:id="126"/>
      <w:bookmarkEnd w:id="127"/>
      <w:bookmarkEnd w:id="128"/>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29" w:name="_Toc1664"/>
      <w:bookmarkStart w:id="130" w:name="_Toc296504880"/>
      <w:bookmarkStart w:id="131" w:name="_Toc23730"/>
      <w:r>
        <w:rPr>
          <w:rFonts w:hint="eastAsia" w:ascii="宋体" w:hAnsi="宋体" w:eastAsia="宋体" w:cs="宋体"/>
          <w:bCs/>
          <w:sz w:val="28"/>
          <w:szCs w:val="28"/>
          <w:highlight w:val="none"/>
          <w:lang w:val="en-US" w:eastAsia="zh-CN"/>
        </w:rPr>
        <w:t>（6）电伴热及保温系统</w:t>
      </w:r>
      <w:bookmarkEnd w:id="129"/>
      <w:bookmarkEnd w:id="130"/>
      <w:bookmarkEnd w:id="131"/>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电伴热系统分布在微米级干雾除尘机、喷雾器总成及水管路上，当环境温度低于+2℃时启动。</w:t>
      </w:r>
    </w:p>
    <w:p>
      <w:pPr>
        <w:pStyle w:val="3"/>
        <w:spacing w:before="0" w:after="0" w:line="360" w:lineRule="auto"/>
        <w:rPr>
          <w:rFonts w:hint="eastAsia" w:ascii="宋体" w:hAnsi="宋体" w:eastAsia="宋体" w:cstheme="minorBidi"/>
          <w:b/>
          <w:bCs/>
          <w:kern w:val="0"/>
          <w:sz w:val="32"/>
          <w:szCs w:val="32"/>
          <w:highlight w:val="none"/>
          <w:lang w:val="en-US" w:eastAsia="zh-CN" w:bidi="ar-SA"/>
        </w:rPr>
      </w:pPr>
      <w:bookmarkStart w:id="132" w:name="_Toc16960"/>
      <w:bookmarkStart w:id="133" w:name="_Toc12710"/>
      <w:r>
        <w:rPr>
          <w:rFonts w:hint="eastAsia" w:ascii="宋体" w:hAnsi="宋体" w:eastAsia="宋体" w:cstheme="minorBidi"/>
          <w:b/>
          <w:bCs/>
          <w:kern w:val="0"/>
          <w:sz w:val="32"/>
          <w:szCs w:val="32"/>
          <w:highlight w:val="none"/>
          <w:lang w:val="en-US" w:eastAsia="zh-CN" w:bidi="ar-SA"/>
        </w:rPr>
        <w:t>5.2</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性能要求</w:t>
      </w:r>
      <w:bookmarkEnd w:id="132"/>
      <w:bookmarkEnd w:id="133"/>
    </w:p>
    <w:p>
      <w:pPr>
        <w:rPr>
          <w:rFonts w:hint="eastAsia"/>
          <w:highlight w:val="none"/>
          <w:lang w:val="en-US" w:eastAsia="zh-CN"/>
        </w:rPr>
      </w:pP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微雾机由电控系统、多功能控制系统、流量控制系统组成，所有系统都集中在一个控制柜中。防护等级为IP55标准。碳钢喷塑，并具有文本显示器或操作按钮。文本显示器采用全触摸屏，能够将设备运行状态实时显示，还可通过触摸屏来手动控制各抑尘点的喷雾状态。</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要求：电控系统集合可编程逻辑控制器PLC、保护电路、继电器以及与它们相关的元器件，可提供自动和手动两种操作模式，在自动操作模式时，可自动接收远程触发信号启动或停止喷雾；在手动模式，操作人员可以通过触摸屏，来手动控制喷雾点的运行。PLC要求能够设置修改喷雾周期及管道吹扫时间等。同时，触摸屏可将系统各喷雾点的运行状态、压力实时显示。多功能系统将外接水源的水中悬浮物过滤掉达到喷头所要求使用的标准，它集合了所有的过滤器、控制阀、管道吹扫阀和压力传感器。</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（3）流量控制系统调节压缩空气和水的压力及流量。并通过分配器和阀门将它们分配到各个喷头中去。</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（4）上位机配置要求不低于如下:</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  ·CPU主频：≥2GHz</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  ·内存容量：≥2GB</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  ·触摸屏，分辨率不小于800×600。</w:t>
      </w:r>
    </w:p>
    <w:p>
      <w:pPr>
        <w:pStyle w:val="3"/>
        <w:spacing w:before="0" w:after="0" w:line="360" w:lineRule="auto"/>
        <w:rPr>
          <w:rFonts w:hint="eastAsia" w:ascii="宋体" w:hAnsi="宋体" w:eastAsia="宋体" w:cstheme="minorBidi"/>
          <w:b/>
          <w:bCs/>
          <w:kern w:val="0"/>
          <w:sz w:val="32"/>
          <w:szCs w:val="32"/>
          <w:highlight w:val="none"/>
          <w:lang w:val="en-US" w:eastAsia="zh-CN" w:bidi="ar-SA"/>
        </w:rPr>
      </w:pPr>
      <w:bookmarkStart w:id="134" w:name="_Toc27932"/>
      <w:bookmarkStart w:id="135" w:name="_Toc13348"/>
      <w:r>
        <w:rPr>
          <w:rFonts w:hint="eastAsia" w:ascii="宋体" w:hAnsi="宋体" w:eastAsia="宋体" w:cstheme="minorBidi"/>
          <w:b/>
          <w:bCs/>
          <w:kern w:val="0"/>
          <w:sz w:val="32"/>
          <w:szCs w:val="32"/>
          <w:highlight w:val="none"/>
          <w:lang w:val="en-US" w:eastAsia="zh-CN" w:bidi="ar-SA"/>
        </w:rPr>
        <w:t>5.3</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配置清单</w:t>
      </w:r>
      <w:bookmarkEnd w:id="134"/>
      <w:bookmarkEnd w:id="135"/>
    </w:p>
    <w:tbl>
      <w:tblPr>
        <w:tblStyle w:val="12"/>
        <w:tblW w:w="0" w:type="auto"/>
        <w:jc w:val="center"/>
        <w:shd w:val="clear" w:color="auto" w:fill="auto"/>
        <w:tblLayout w:type="autofit"/>
        <w:tblCellMar>
          <w:top w:w="0" w:type="dxa"/>
          <w:left w:w="0" w:type="dxa"/>
          <w:bottom w:w="0" w:type="dxa"/>
          <w:right w:w="0" w:type="dxa"/>
        </w:tblCellMar>
      </w:tblPr>
      <w:tblGrid>
        <w:gridCol w:w="506"/>
        <w:gridCol w:w="1224"/>
        <w:gridCol w:w="2724"/>
        <w:gridCol w:w="506"/>
        <w:gridCol w:w="506"/>
        <w:gridCol w:w="506"/>
      </w:tblGrid>
      <w:tr>
        <w:tblPrEx>
          <w:shd w:val="clear" w:color="auto" w:fill="auto"/>
          <w:tblCellMar>
            <w:top w:w="0" w:type="dxa"/>
            <w:left w:w="0" w:type="dxa"/>
            <w:bottom w:w="0" w:type="dxa"/>
            <w:right w:w="0" w:type="dxa"/>
          </w:tblCellMar>
        </w:tblPrEx>
        <w:trPr>
          <w:trHeight w:val="454" w:hRule="atLeast"/>
          <w:jc w:val="center"/>
        </w:trPr>
        <w:tc>
          <w:tcPr>
            <w:tcW w:w="0" w:type="auto"/>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0" w:type="auto"/>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分项名称</w:t>
            </w:r>
          </w:p>
        </w:tc>
        <w:tc>
          <w:tcPr>
            <w:tcW w:w="0" w:type="auto"/>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型号规格</w:t>
            </w:r>
          </w:p>
        </w:tc>
        <w:tc>
          <w:tcPr>
            <w:tcW w:w="0" w:type="auto"/>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单位</w:t>
            </w:r>
          </w:p>
        </w:tc>
        <w:tc>
          <w:tcPr>
            <w:tcW w:w="0" w:type="auto"/>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数量</w:t>
            </w:r>
          </w:p>
        </w:tc>
        <w:tc>
          <w:tcPr>
            <w:tcW w:w="0" w:type="auto"/>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备注</w:t>
            </w: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干雾炮机</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GW2C/碳钢喷塑</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气雾喷射器</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Q15C</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分控箱</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GK2C</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16</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万向节总成</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个</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70</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超声波喷头</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个</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150</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空压机组</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55KW,0.8MPa，储气罐1m³</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电磁阀</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DN25/黄铜先导阀</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个</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16</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电磁阀</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DN15/黄铜先导阀</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个</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32</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液压管</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DN15/1.6MPa/平口螺纹</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批</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供水管道</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DN50/热镀锌管</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批</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供气管道</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DN25/热镀锌管</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批</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电缆桥架</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项</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454" w:hRule="atLeast"/>
          <w:jc w:val="center"/>
        </w:trPr>
        <w:tc>
          <w:tcPr>
            <w:tcW w:w="0" w:type="auto"/>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13</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辅材</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项</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0" w:type="auto"/>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bl>
    <w:p>
      <w:pPr>
        <w:rPr>
          <w:rFonts w:hint="eastAsia" w:ascii="宋体" w:hAnsi="宋体" w:eastAsia="宋体" w:cstheme="minorBidi"/>
          <w:b/>
          <w:bCs/>
          <w:kern w:val="0"/>
          <w:sz w:val="32"/>
          <w:szCs w:val="32"/>
          <w:highlight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2"/>
        <w:keepNext/>
        <w:keepLines/>
        <w:pageBreakBefore w:val="0"/>
        <w:widowControl w:val="0"/>
        <w:numPr>
          <w:ilvl w:val="0"/>
          <w:numId w:val="4"/>
        </w:numPr>
        <w:kinsoku/>
        <w:wordWrap/>
        <w:overflowPunct/>
        <w:topLinePunct w:val="0"/>
        <w:autoSpaceDE/>
        <w:autoSpaceDN/>
        <w:bidi w:val="0"/>
        <w:adjustRightInd/>
        <w:snapToGrid/>
        <w:spacing w:before="400" w:after="400" w:line="600" w:lineRule="auto"/>
        <w:jc w:val="center"/>
        <w:textAlignment w:val="auto"/>
        <w:rPr>
          <w:rFonts w:hint="eastAsia"/>
          <w:kern w:val="0"/>
          <w:highlight w:val="none"/>
          <w:lang w:val="en-US" w:eastAsia="zh-CN"/>
        </w:rPr>
      </w:pPr>
      <w:bookmarkStart w:id="136" w:name="_Toc32669"/>
      <w:bookmarkStart w:id="137" w:name="_Toc31784"/>
      <w:r>
        <w:rPr>
          <w:rFonts w:hint="eastAsia"/>
          <w:kern w:val="0"/>
          <w:highlight w:val="none"/>
          <w:lang w:val="en-US" w:eastAsia="zh-CN"/>
        </w:rPr>
        <w:t>除尘系统设计条件及要求</w:t>
      </w:r>
      <w:bookmarkEnd w:id="136"/>
      <w:bookmarkEnd w:id="137"/>
    </w:p>
    <w:p>
      <w:pPr>
        <w:pStyle w:val="3"/>
        <w:spacing w:before="0" w:after="0" w:line="360" w:lineRule="auto"/>
        <w:rPr>
          <w:rFonts w:hint="default" w:ascii="宋体" w:hAnsi="宋体" w:eastAsia="宋体" w:cstheme="minorBidi"/>
          <w:b/>
          <w:bCs/>
          <w:kern w:val="0"/>
          <w:sz w:val="32"/>
          <w:szCs w:val="32"/>
          <w:highlight w:val="none"/>
          <w:lang w:val="en-US" w:eastAsia="zh-CN" w:bidi="ar-SA"/>
        </w:rPr>
      </w:pPr>
      <w:bookmarkStart w:id="138" w:name="_Toc9115"/>
      <w:bookmarkStart w:id="139" w:name="_Toc19054"/>
      <w:bookmarkStart w:id="140" w:name="_Toc5076"/>
      <w:bookmarkStart w:id="141" w:name="_Toc17156"/>
      <w:bookmarkStart w:id="142" w:name="_Toc11569"/>
      <w:bookmarkStart w:id="143" w:name="_Toc10714"/>
      <w:bookmarkStart w:id="144" w:name="_Toc16410"/>
      <w:r>
        <w:rPr>
          <w:rFonts w:hint="eastAsia" w:ascii="宋体" w:hAnsi="宋体" w:eastAsia="宋体" w:cstheme="minorBidi"/>
          <w:b/>
          <w:bCs/>
          <w:kern w:val="0"/>
          <w:sz w:val="32"/>
          <w:szCs w:val="32"/>
          <w:highlight w:val="none"/>
          <w:lang w:val="en-US" w:eastAsia="zh-CN" w:bidi="ar-SA"/>
        </w:rPr>
        <w:t>6.1</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除尘系统选用</w:t>
      </w:r>
      <w:bookmarkEnd w:id="138"/>
      <w:bookmarkEnd w:id="139"/>
      <w:bookmarkEnd w:id="140"/>
      <w:bookmarkEnd w:id="141"/>
      <w:bookmarkEnd w:id="142"/>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45" w:name="_Toc22528"/>
      <w:r>
        <w:rPr>
          <w:rFonts w:hint="eastAsia" w:ascii="宋体" w:hAnsi="宋体" w:eastAsia="宋体" w:cs="宋体"/>
          <w:bCs/>
          <w:sz w:val="28"/>
          <w:szCs w:val="28"/>
          <w:highlight w:val="none"/>
          <w:lang w:val="en-US" w:eastAsia="zh-CN"/>
        </w:rPr>
        <w:t>生产过程中原料湿度比重小，且粉尘无外力作用导致不规则运作，粉尘收集难度较小，结合以往实际经验及经济实用原则，本方案拟采用气箱脉冲布袋除尘器，该除尘器具有结构简单、操作方便、维修工作量小、清灰效果良好、便与安装、经济实惠等优点。</w:t>
      </w:r>
      <w:bookmarkEnd w:id="145"/>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highlight w:val="none"/>
          <w:lang w:val="en-US" w:eastAsia="zh-CN"/>
        </w:rPr>
      </w:pPr>
      <w:r>
        <w:rPr>
          <w:rFonts w:hint="eastAsia"/>
          <w:highlight w:val="none"/>
          <w:lang w:val="en-US" w:eastAsia="zh-CN"/>
        </w:rPr>
        <w:t>6.1.1. 工作原理</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除尘器由灰斗、上箱体、中箱体、下箱体等部分组成，上、中、下箱体为分室结构。工作时，含尘气体由进风道进入灰斗，粗尘粒直接落入灰斗底部，细尘粒随气流转折向上进入中、下箱体，粉尘积附在滤袋外表面，过滤后的气体进入上箱体至净气集合管-排风道，经排风机排至大气。 清灰过程在线清灰。先开启脉冲阀用压缩空气进行脉冲喷吹清灰，并由可编程序控制仪对排气阀、脉冲阀及卸灰阀等进行全自动控制。</w:t>
      </w:r>
    </w:p>
    <w:p>
      <w:pPr>
        <w:widowControl/>
        <w:spacing w:line="360" w:lineRule="auto"/>
        <w:ind w:firstLine="420" w:firstLineChars="200"/>
        <w:jc w:val="center"/>
        <w:textAlignment w:val="baseline"/>
        <w:rPr>
          <w:highlight w:val="none"/>
        </w:rPr>
      </w:pPr>
      <w:r>
        <w:rPr>
          <w:rFonts w:hint="eastAsia" w:ascii="Times New Roman" w:hAnsi="Times New Roman" w:eastAsia="宋体" w:cs="Times New Roman"/>
          <w:color w:val="auto"/>
          <w:highlight w:val="none"/>
          <w:lang w:eastAsia="zh-CN"/>
        </w:rPr>
        <w:drawing>
          <wp:inline distT="0" distB="0" distL="114300" distR="114300">
            <wp:extent cx="2520315" cy="3855085"/>
            <wp:effectExtent l="0" t="0" r="635" b="9525"/>
            <wp:docPr id="10" name="图片 10" descr="工艺流程图-Model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工艺流程图-Model_1"/>
                    <pic:cNvPicPr>
                      <a:picLocks noChangeAspect="1"/>
                    </pic:cNvPicPr>
                  </pic:nvPicPr>
                  <pic:blipFill>
                    <a:blip r:embed="rId16"/>
                    <a:srcRect l="6864" t="6108" r="12511" b="6682"/>
                    <a:stretch>
                      <a:fillRect/>
                    </a:stretch>
                  </pic:blipFill>
                  <pic:spPr>
                    <a:xfrm rot="16200000">
                      <a:off x="0" y="0"/>
                      <a:ext cx="2520315" cy="3855085"/>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highlight w:val="none"/>
          <w:lang w:val="en-US" w:eastAsia="zh-CN"/>
        </w:rPr>
      </w:pPr>
      <w:r>
        <w:rPr>
          <w:rFonts w:hint="eastAsia"/>
          <w:highlight w:val="none"/>
          <w:lang w:val="en-US" w:eastAsia="zh-CN"/>
        </w:rPr>
        <w:t xml:space="preserve">6.1.2. </w:t>
      </w:r>
      <w:r>
        <w:rPr>
          <w:rFonts w:hint="default"/>
          <w:highlight w:val="none"/>
          <w:lang w:val="en-US" w:eastAsia="zh-CN"/>
        </w:rPr>
        <w:t>设备构成及性能</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（1）集气罩</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主要用于粉尘气体的收集，每个设备或皮带机转运点均设置了吸罩以及蝶阀，再经过烟道将粉尘气体送入主烟道中。</w:t>
      </w:r>
    </w:p>
    <w:p>
      <w:pPr>
        <w:widowControl/>
        <w:spacing w:line="360" w:lineRule="auto"/>
        <w:ind w:firstLine="420" w:firstLineChars="200"/>
        <w:jc w:val="center"/>
        <w:textAlignment w:val="baseline"/>
        <w:rPr>
          <w:rFonts w:hint="default" w:ascii="宋体" w:hAnsi="宋体" w:eastAsia="宋体" w:cs="宋体"/>
          <w:bCs/>
          <w:sz w:val="28"/>
          <w:szCs w:val="28"/>
          <w:highlight w:val="none"/>
          <w:lang w:val="en-US" w:eastAsia="zh-CN"/>
        </w:rPr>
      </w:pPr>
      <w:r>
        <w:rPr>
          <w:rFonts w:hint="eastAsia" w:cs="Times New Roman"/>
          <w:color w:val="FF0000"/>
          <w:highlight w:val="none"/>
          <w:lang w:val="en-US" w:eastAsia="zh-CN"/>
        </w:rPr>
        <w:object>
          <v:shape id="_x0000_i1025" o:spt="75" type="#_x0000_t75" style="height:149.5pt;width:270.2pt;" o:ole="t" filled="f" o:preferrelative="t" stroked="f" coordsize="21600,21600">
            <v:path/>
            <v:fill on="f" focussize="0,0"/>
            <v:stroke on="f"/>
            <v:imagedata r:id="rId18" cropleft="15754f" croptop="10591f" cropright="30458f" cropbottom="12173f" o:title=""/>
            <o:lock v:ext="edit" aspectratio="f"/>
            <w10:wrap type="none"/>
            <w10:anchorlock/>
          </v:shape>
          <o:OLEObject Type="Embed" ProgID="ZWCAD.Drawing" ShapeID="_x0000_i1025" DrawAspect="Content" ObjectID="_1468075725" r:id="rId17">
            <o:LockedField>false</o:LockedField>
          </o:OLEObject>
        </w:objec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安装除尘器集气收尘罩应遵循以下原则</w:t>
      </w:r>
      <w:r>
        <w:rPr>
          <w:rFonts w:hint="eastAsia" w:ascii="宋体" w:hAnsi="宋体" w:eastAsia="宋体" w:cs="宋体"/>
          <w:bCs/>
          <w:sz w:val="28"/>
          <w:szCs w:val="28"/>
          <w:highlight w:val="none"/>
          <w:lang w:val="en-US" w:eastAsia="zh-CN"/>
        </w:rPr>
        <w:t>：</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1</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设置吸尘罩的地点，应保持罩内负压均匀，要能有效控制含尘气流不致从罩内逸出，并避免吸出粉料。如对破碎、筛分和运输设备，吸尘罩应避开含尘气流中心，以防吸出大量粉料。对于皮带机受料店吸尘罩与卸料溜槽相邻两边之间距离应为溜槽边长的0.75～1.5倍，但不得小于300～500mm</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罩口离皮带机表面高度不小于皮带机宽度的0.6倍。当卸料溜槽与皮带机倾斜交料时，应在溜槽的前方布置吸尘罩</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当卸料溜槽与皮带机垂直交料时，宜在溜槽的前、后方均设吸尘罩。</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2</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处理或输送热物料时，吸尘罩应设在密闭装置的顶部，或给料点与受料点位置上、下抽风吸尘罩。</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3</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吸尘罩不宜靠近敞开的孔洞</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如操作孔、观察孔、出料口等</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，以免吸入罩处空气。对于皮带机受料店吸尘罩前必须设遮尘帘，遮尘帘可用橡皮带、帆布带等制作。</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4</w:t>
      </w:r>
      <w:r>
        <w:rPr>
          <w:rFonts w:hint="eastAsia" w:ascii="宋体" w:hAnsi="宋体" w:eastAsia="宋体" w:cs="宋体"/>
          <w:bCs/>
          <w:sz w:val="28"/>
          <w:szCs w:val="28"/>
          <w:highlight w:val="none"/>
          <w:lang w:val="en-US" w:eastAsia="zh-CN"/>
        </w:rPr>
        <w:t>）</w:t>
      </w:r>
      <w:r>
        <w:rPr>
          <w:rFonts w:hint="default" w:ascii="宋体" w:hAnsi="宋体" w:eastAsia="宋体" w:cs="宋体"/>
          <w:bCs/>
          <w:sz w:val="28"/>
          <w:szCs w:val="28"/>
          <w:highlight w:val="none"/>
          <w:lang w:val="en-US" w:eastAsia="zh-CN"/>
        </w:rPr>
        <w:t>吸尘罩的位置应不影响操作和检修。与罩相接的一段管道最好垂直敷设，以免蹦入物料造成管道堵塞。</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（2）布袋式除尘器</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收粉除尘系统选用</w:t>
      </w:r>
      <w:r>
        <w:rPr>
          <w:rFonts w:hint="eastAsia" w:ascii="宋体" w:hAnsi="宋体" w:eastAsia="宋体" w:cs="宋体"/>
          <w:bCs/>
          <w:sz w:val="28"/>
          <w:szCs w:val="28"/>
          <w:highlight w:val="none"/>
          <w:lang w:val="en-US" w:eastAsia="zh-CN"/>
        </w:rPr>
        <w:t>LCMD</w:t>
      </w:r>
      <w:r>
        <w:rPr>
          <w:rFonts w:hint="default" w:ascii="宋体" w:hAnsi="宋体" w:eastAsia="宋体" w:cs="宋体"/>
          <w:bCs/>
          <w:sz w:val="28"/>
          <w:szCs w:val="28"/>
          <w:highlight w:val="none"/>
          <w:lang w:val="en-US" w:eastAsia="zh-CN"/>
        </w:rPr>
        <w:t>低压脉冲布袋除尘器，本除尘器采用中部</w:t>
      </w:r>
      <w:r>
        <w:rPr>
          <w:rFonts w:hint="eastAsia" w:ascii="宋体" w:hAnsi="宋体" w:eastAsia="宋体" w:cs="宋体"/>
          <w:bCs/>
          <w:sz w:val="28"/>
          <w:szCs w:val="28"/>
          <w:highlight w:val="none"/>
          <w:lang w:val="en-US" w:eastAsia="zh-CN"/>
        </w:rPr>
        <w:t>或者侧</w:t>
      </w:r>
      <w:r>
        <w:rPr>
          <w:rFonts w:hint="default" w:ascii="宋体" w:hAnsi="宋体" w:eastAsia="宋体" w:cs="宋体"/>
          <w:bCs/>
          <w:sz w:val="28"/>
          <w:szCs w:val="28"/>
          <w:highlight w:val="none"/>
          <w:lang w:val="en-US" w:eastAsia="zh-CN"/>
        </w:rPr>
        <w:t>烟道进出风的形式，过滤室</w:t>
      </w:r>
      <w:r>
        <w:rPr>
          <w:rFonts w:hint="eastAsia" w:ascii="宋体" w:hAnsi="宋体" w:eastAsia="宋体" w:cs="宋体"/>
          <w:bCs/>
          <w:sz w:val="28"/>
          <w:szCs w:val="28"/>
          <w:highlight w:val="none"/>
          <w:lang w:val="en-US" w:eastAsia="zh-CN"/>
        </w:rPr>
        <w:t>单</w:t>
      </w:r>
      <w:r>
        <w:rPr>
          <w:rFonts w:hint="default" w:ascii="宋体" w:hAnsi="宋体" w:eastAsia="宋体" w:cs="宋体"/>
          <w:bCs/>
          <w:sz w:val="28"/>
          <w:szCs w:val="28"/>
          <w:highlight w:val="none"/>
          <w:lang w:val="en-US" w:eastAsia="zh-CN"/>
        </w:rPr>
        <w:t>列布置，由灰斗、上箱体、中箱体等部分组成，上、中箱体为分室结构。含尘气体从除尘器一端进入下方的风道。风道截面设计成递减截面，含尘气流通过荒气风道分别进入过滤室，粗尘粒直接落人灰斗底部，细尘粒随气流转折向上进入中箱体，粉尘积附在滤袋外表面，过滤后的气体进入上箱体</w:t>
      </w:r>
      <w:r>
        <w:rPr>
          <w:rFonts w:hint="eastAsia" w:ascii="宋体" w:hAnsi="宋体" w:eastAsia="宋体" w:cs="宋体"/>
          <w:bCs/>
          <w:sz w:val="28"/>
          <w:szCs w:val="28"/>
          <w:highlight w:val="none"/>
          <w:lang w:val="en-US" w:eastAsia="zh-CN"/>
        </w:rPr>
        <w:t>以及</w:t>
      </w:r>
      <w:r>
        <w:rPr>
          <w:rFonts w:hint="default" w:ascii="宋体" w:hAnsi="宋体" w:eastAsia="宋体" w:cs="宋体"/>
          <w:bCs/>
          <w:sz w:val="28"/>
          <w:szCs w:val="28"/>
          <w:highlight w:val="none"/>
          <w:lang w:val="en-US" w:eastAsia="zh-CN"/>
        </w:rPr>
        <w:t>上方的净气风道，经风机引出。</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 xml:space="preserve">过滤速度是除尘器选型的关键因素，应根据烟尘或粉尘的性质、应用场合、粉尘粒度、粘度、气体温度、含水份量、含尘浓度及不同滤料等因素来确定。当粉尘粒度较细，温、湿度较高，浓度大，粘性较大宜选低值，如过滤速度≤1.0m/min；反之可选高值，一般不宜超过1.2m/min。过滤速度选用时，应计算在减少一室（清灰时）过滤面积时的净过滤风速不宜超过上述数值。 </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滤袋</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滤袋袋口采用不锈钢弹簧钢涨圈卡环，并采取特殊防腐，要求具有良好的密封和固持性能，在工作条件的拉紧力必须保证滤袋不从花板上脱落，保持滤袋与花板密封贴合良好，不漏风。</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滤袋</w:t>
      </w:r>
      <w:r>
        <w:rPr>
          <w:rFonts w:hint="eastAsia" w:ascii="宋体" w:hAnsi="宋体" w:eastAsia="宋体" w:cs="宋体"/>
          <w:bCs/>
          <w:sz w:val="28"/>
          <w:szCs w:val="28"/>
          <w:highlight w:val="none"/>
          <w:lang w:val="en-US" w:eastAsia="zh-CN"/>
        </w:rPr>
        <w:t>采用热熔处理，避免粉尘从针眼处穿透。</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滤袋上端采用了弹簧涨圈形式，密封性能好、换袋快捷。仅需1-2人就能通过机顶便掀式顶盖进行换袋操作。滤袋的装入和取出均在净气室进行，无须进入除尘器过滤室。 以上体现了检修、更换、维护的方便性。</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笼骨</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袋笼采用圆型结构并做</w:t>
      </w:r>
      <w:r>
        <w:rPr>
          <w:rFonts w:hint="eastAsia" w:ascii="宋体" w:hAnsi="宋体" w:eastAsia="宋体" w:cs="宋体"/>
          <w:bCs/>
          <w:sz w:val="28"/>
          <w:szCs w:val="28"/>
          <w:highlight w:val="none"/>
          <w:lang w:val="en-US" w:eastAsia="zh-CN"/>
        </w:rPr>
        <w:t>镀锌</w:t>
      </w:r>
      <w:r>
        <w:rPr>
          <w:rFonts w:hint="default" w:ascii="宋体" w:hAnsi="宋体" w:eastAsia="宋体" w:cs="宋体"/>
          <w:bCs/>
          <w:sz w:val="28"/>
          <w:szCs w:val="28"/>
          <w:highlight w:val="none"/>
          <w:lang w:val="en-US" w:eastAsia="zh-CN"/>
        </w:rPr>
        <w:t>处理，纵筋和反撑环分布均匀，反撑环的间距≤200mm，有足够的强度和刚度，能承受滤袋在过滤及清灰状态中的气体压力，保证在</w:t>
      </w:r>
      <w:r>
        <w:rPr>
          <w:rFonts w:hint="eastAsia" w:ascii="宋体" w:hAnsi="宋体" w:eastAsia="宋体" w:cs="宋体"/>
          <w:bCs/>
          <w:sz w:val="28"/>
          <w:szCs w:val="28"/>
          <w:highlight w:val="none"/>
          <w:lang w:val="en-US" w:eastAsia="zh-CN"/>
        </w:rPr>
        <w:t>6</w:t>
      </w:r>
      <w:r>
        <w:rPr>
          <w:rFonts w:hint="default" w:ascii="宋体" w:hAnsi="宋体" w:eastAsia="宋体" w:cs="宋体"/>
          <w:bCs/>
          <w:sz w:val="28"/>
          <w:szCs w:val="28"/>
          <w:highlight w:val="none"/>
          <w:lang w:val="en-US" w:eastAsia="zh-CN"/>
        </w:rPr>
        <w:t>000Pa负压下运行1小时后塑性变形小于3mm（纵筋直径≥Φ3.5mm，加强反撑环Φ3.8mm）；袋口加保护套。</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袋笼制作须一次成型，保证袋笼的直线度和扭曲度，滤袋框架碰焊后光滑、无毛刺，并且有足够的强度不脱焊，无脱焊、虚焊和漏焊现象。</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笼骨的纵筋和反撑环分布均匀，并有足够的强度和刚度，防止损坏和变形。笼骨框架要求平直、光滑、不得手工焊接、严禁有毛刺。所有焊点均匀牢固，不允许出现脱焊、虚焊和漏焊现象；袋笼的制造配备了先进的骨架生产线，在平直度、焊点的牢度、表面光滑度等方面达到了国内先进水平。具有强度高、阻力小、寿命长等特点。滤袋套在笼骨框架上，笼骨框架及滤袋采用自锁装置，将滤袋固定在孔板中，框架使滤袋张开，可保证过滤粉尘和通过气体时延长滤袋的使用寿命。袋笼采用单段式或多段式。检修时，只需拆开除尘器顶盖（亦即洁净箱顶盖），就可将布袋拉出，避免多段式袋笼在检修时拆卸困难，工人操作不便。</w:t>
      </w:r>
    </w:p>
    <w:p>
      <w:pPr>
        <w:widowControl/>
        <w:spacing w:line="360" w:lineRule="auto"/>
        <w:jc w:val="center"/>
        <w:textAlignment w:val="baseline"/>
        <w:rPr>
          <w:rFonts w:hint="default"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主要</w:t>
      </w:r>
      <w:r>
        <w:rPr>
          <w:rFonts w:hint="default" w:ascii="宋体" w:hAnsi="宋体" w:eastAsia="宋体" w:cs="宋体"/>
          <w:b/>
          <w:bCs w:val="0"/>
          <w:sz w:val="28"/>
          <w:szCs w:val="28"/>
          <w:highlight w:val="none"/>
          <w:lang w:val="en-US" w:eastAsia="zh-CN"/>
        </w:rPr>
        <w:t>笼骨性基本参数</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817"/>
        <w:gridCol w:w="2450"/>
        <w:gridCol w:w="491"/>
        <w:gridCol w:w="1195"/>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规格</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Φ1</w:t>
            </w:r>
            <w:r>
              <w:rPr>
                <w:rFonts w:hint="eastAsia" w:ascii="宋体" w:hAnsi="宋体" w:eastAsia="宋体" w:cs="宋体"/>
                <w:bCs/>
                <w:sz w:val="24"/>
                <w:szCs w:val="24"/>
                <w:highlight w:val="none"/>
                <w:lang w:val="en-US" w:eastAsia="zh-CN"/>
              </w:rPr>
              <w:t>60</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9</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处理方式</w:t>
            </w:r>
          </w:p>
        </w:tc>
        <w:tc>
          <w:tcPr>
            <w:tcW w:w="1225" w:type="pct"/>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镀锌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2</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材质</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Q235钢</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10</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文氏管</w:t>
            </w:r>
          </w:p>
        </w:tc>
        <w:tc>
          <w:tcPr>
            <w:tcW w:w="1225" w:type="pct"/>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3</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竖筋直径</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≥3.5</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11</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数量</w:t>
            </w:r>
          </w:p>
        </w:tc>
        <w:tc>
          <w:tcPr>
            <w:tcW w:w="1225"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4</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加强筋直径</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≥3.8</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12</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到货地点</w:t>
            </w:r>
          </w:p>
        </w:tc>
        <w:tc>
          <w:tcPr>
            <w:tcW w:w="1225"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5</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支撑环间距</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≤200</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13</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框架包装</w:t>
            </w:r>
          </w:p>
        </w:tc>
        <w:tc>
          <w:tcPr>
            <w:tcW w:w="1225"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6</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竖筋根数</w:t>
            </w:r>
          </w:p>
        </w:tc>
        <w:tc>
          <w:tcPr>
            <w:tcW w:w="1437" w:type="pct"/>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16</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14</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交货期限</w:t>
            </w:r>
          </w:p>
        </w:tc>
        <w:tc>
          <w:tcPr>
            <w:tcW w:w="1225"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7</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骨架节数</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32</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15</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备注</w:t>
            </w:r>
          </w:p>
        </w:tc>
        <w:tc>
          <w:tcPr>
            <w:tcW w:w="1225"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0"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8</w:t>
            </w:r>
          </w:p>
        </w:tc>
        <w:tc>
          <w:tcPr>
            <w:tcW w:w="1066"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接口方式</w:t>
            </w:r>
          </w:p>
        </w:tc>
        <w:tc>
          <w:tcPr>
            <w:tcW w:w="1437"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w:t>
            </w:r>
          </w:p>
        </w:tc>
        <w:tc>
          <w:tcPr>
            <w:tcW w:w="288"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16</w:t>
            </w:r>
          </w:p>
        </w:tc>
        <w:tc>
          <w:tcPr>
            <w:tcW w:w="701"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质保期</w:t>
            </w:r>
          </w:p>
        </w:tc>
        <w:tc>
          <w:tcPr>
            <w:tcW w:w="1225" w:type="pct"/>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default" w:ascii="宋体" w:hAnsi="宋体" w:eastAsia="宋体" w:cs="宋体"/>
                <w:bCs/>
                <w:sz w:val="24"/>
                <w:szCs w:val="24"/>
                <w:highlight w:val="none"/>
                <w:lang w:val="en-US" w:eastAsia="zh-CN"/>
              </w:rPr>
              <w:t>2年</w:t>
            </w:r>
          </w:p>
        </w:tc>
      </w:tr>
    </w:tbl>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进风方式</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进风风道采用下压时结构，不需要设置导流板，仍满足设计要求。进风形式如下图所示，该气流分配装置材质采用16Mn。</w:t>
      </w:r>
    </w:p>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4997450" cy="1392555"/>
            <wp:effectExtent l="0" t="0" r="1270" b="9525"/>
            <wp:docPr id="16" name="图片 16" descr="微信图片_20181010112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181010112749"/>
                    <pic:cNvPicPr>
                      <a:picLocks noChangeAspect="1"/>
                    </pic:cNvPicPr>
                  </pic:nvPicPr>
                  <pic:blipFill>
                    <a:blip r:embed="rId19"/>
                    <a:stretch>
                      <a:fillRect/>
                    </a:stretch>
                  </pic:blipFill>
                  <pic:spPr>
                    <a:xfrm>
                      <a:off x="0" y="0"/>
                      <a:ext cx="4997450" cy="1392555"/>
                    </a:xfrm>
                    <a:prstGeom prst="rect">
                      <a:avLst/>
                    </a:prstGeom>
                  </pic:spPr>
                </pic:pic>
              </a:graphicData>
            </a:graphic>
          </wp:inline>
        </w:drawing>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钢结构设计</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钢架顶板设置横向长槽孔，灰斗支座底板设置纵向长槽孔，钢架顶板与支座底板通过螺栓连接，具体形式见下图所示，按此图设计，钢结构横向、纵向均可收缩变形。</w:t>
      </w:r>
    </w:p>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2381885" cy="2354580"/>
            <wp:effectExtent l="0" t="0" r="10795" b="7620"/>
            <wp:docPr id="34" name="图片 34" descr="111-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11-Model"/>
                    <pic:cNvPicPr>
                      <a:picLocks noChangeAspect="1"/>
                    </pic:cNvPicPr>
                  </pic:nvPicPr>
                  <pic:blipFill>
                    <a:blip r:embed="rId20"/>
                    <a:srcRect t="7343" r="41546" b="10893"/>
                    <a:stretch>
                      <a:fillRect/>
                    </a:stretch>
                  </pic:blipFill>
                  <pic:spPr>
                    <a:xfrm>
                      <a:off x="0" y="0"/>
                      <a:ext cx="2381885" cy="2354580"/>
                    </a:xfrm>
                    <a:prstGeom prst="rect">
                      <a:avLst/>
                    </a:prstGeom>
                  </pic:spPr>
                </pic:pic>
              </a:graphicData>
            </a:graphic>
          </wp:inline>
        </w:drawing>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过滤方式</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除尘器采用外滤式过滤方式，滤袋由笼骨所支撑，笼骨为圆形，笼骨寿命大于2年。笼骨设计为1</w:t>
      </w:r>
      <w:r>
        <w:rPr>
          <w:rFonts w:hint="eastAsia" w:ascii="宋体" w:hAnsi="宋体" w:eastAsia="宋体" w:cs="宋体"/>
          <w:bCs/>
          <w:sz w:val="28"/>
          <w:szCs w:val="28"/>
          <w:highlight w:val="none"/>
          <w:lang w:val="en-US" w:eastAsia="zh-CN"/>
        </w:rPr>
        <w:t>6</w:t>
      </w:r>
      <w:r>
        <w:rPr>
          <w:rFonts w:hint="default" w:ascii="宋体" w:hAnsi="宋体" w:eastAsia="宋体" w:cs="宋体"/>
          <w:bCs/>
          <w:sz w:val="28"/>
          <w:szCs w:val="28"/>
          <w:highlight w:val="none"/>
          <w:lang w:val="en-US" w:eastAsia="zh-CN"/>
        </w:rPr>
        <w:t>根筋，环筋间距200mm。</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花板形式</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花板厚度</w:t>
      </w:r>
      <w:r>
        <w:rPr>
          <w:rFonts w:hint="eastAsia" w:ascii="宋体" w:hAnsi="宋体" w:eastAsia="宋体" w:cs="宋体"/>
          <w:bCs/>
          <w:sz w:val="28"/>
          <w:szCs w:val="28"/>
          <w:highlight w:val="none"/>
          <w:lang w:val="en-US" w:eastAsia="zh-CN"/>
        </w:rPr>
        <w:t>8</w:t>
      </w:r>
      <w:r>
        <w:rPr>
          <w:rFonts w:hint="default" w:ascii="宋体" w:hAnsi="宋体" w:eastAsia="宋体" w:cs="宋体"/>
          <w:bCs/>
          <w:sz w:val="28"/>
          <w:szCs w:val="28"/>
          <w:highlight w:val="none"/>
          <w:lang w:val="en-US" w:eastAsia="zh-CN"/>
        </w:rPr>
        <w:t>mm，花板孔采用激光切割加工，确保孔径偏差为±0.1mm；孔中心距保证相邻布袋不接触，偏差为±0.1mm；花板平面度偏差＜1/1000，对角线长度偏差＜5mm，内孔表面粗糙度Ra6.4以上，无尖角和毛刺。花板设足够数量的加强筋板，确保不变形，确保能作为检修平台安全使用，滤袋组件从花板装入。</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花板表面平整光洁，花板反面设加强筋，没有挠曲、凹凸不平等缺陷。</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喷吹系统</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喷吹系统要求有防止喷吹管内壁结露腐蚀喷吹管的措施，并达到高强度离线清灰的目的。</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清灰力度和清灰气量能满足各种运行工况下的清灰需求。空气包上的多个脉冲阀每隔</w:t>
      </w:r>
      <w:r>
        <w:rPr>
          <w:rFonts w:hint="eastAsia" w:ascii="宋体" w:hAnsi="宋体" w:eastAsia="宋体" w:cs="宋体"/>
          <w:bCs/>
          <w:sz w:val="28"/>
          <w:szCs w:val="28"/>
          <w:highlight w:val="none"/>
          <w:lang w:val="en-US" w:eastAsia="zh-CN"/>
        </w:rPr>
        <w:t>-10秒-</w:t>
      </w:r>
      <w:r>
        <w:rPr>
          <w:rFonts w:hint="default" w:ascii="宋体" w:hAnsi="宋体" w:eastAsia="宋体" w:cs="宋体"/>
          <w:bCs/>
          <w:sz w:val="28"/>
          <w:szCs w:val="28"/>
          <w:highlight w:val="none"/>
          <w:lang w:val="en-US" w:eastAsia="zh-CN"/>
        </w:rPr>
        <w:t>1分钟（可调）依次启动0.15秒（可调），脉冲阀开启时压缩空气及诱导气体喷入滤袋。喷吹管结构采用高效引流喷嘴，提高气流的喷射效率。</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壳体材质</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为保证设备足够的强度，除尘器壳体采用</w:t>
      </w:r>
      <w:r>
        <w:rPr>
          <w:rFonts w:hint="eastAsia" w:ascii="宋体" w:hAnsi="宋体" w:eastAsia="宋体" w:cs="宋体"/>
          <w:bCs/>
          <w:sz w:val="28"/>
          <w:szCs w:val="28"/>
          <w:highlight w:val="none"/>
          <w:lang w:val="en-US" w:eastAsia="zh-CN"/>
        </w:rPr>
        <w:t>4-5</w:t>
      </w:r>
      <w:r>
        <w:rPr>
          <w:rFonts w:hint="default" w:ascii="宋体" w:hAnsi="宋体" w:eastAsia="宋体" w:cs="宋体"/>
          <w:bCs/>
          <w:sz w:val="28"/>
          <w:szCs w:val="28"/>
          <w:highlight w:val="none"/>
          <w:lang w:val="en-US" w:eastAsia="zh-CN"/>
        </w:rPr>
        <w:t>mm钢板制作，并采取措施确保壳体漏风率小于</w:t>
      </w:r>
      <w:r>
        <w:rPr>
          <w:rFonts w:hint="eastAsia" w:ascii="宋体" w:hAnsi="宋体" w:eastAsia="宋体" w:cs="宋体"/>
          <w:bCs/>
          <w:sz w:val="28"/>
          <w:szCs w:val="28"/>
          <w:highlight w:val="none"/>
          <w:lang w:val="en-US" w:eastAsia="zh-CN"/>
        </w:rPr>
        <w:t>2</w:t>
      </w:r>
      <w:r>
        <w:rPr>
          <w:rFonts w:hint="default" w:ascii="宋体" w:hAnsi="宋体" w:eastAsia="宋体" w:cs="宋体"/>
          <w:bCs/>
          <w:sz w:val="28"/>
          <w:szCs w:val="28"/>
          <w:highlight w:val="none"/>
          <w:lang w:val="en-US" w:eastAsia="zh-CN"/>
        </w:rPr>
        <w:t>%。</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箱体采用气密性设计，密封性好，检查门用优良的密封材料，制作过程中以煤油检漏，漏风率很低。下灰口采用盲板插槽，以保证漏风率满足要求。</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灰斗结构</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烟气粉尘易吸湿长期使用对壁板易形成腐蚀，除尘器灰斗采用</w:t>
      </w:r>
      <w:r>
        <w:rPr>
          <w:rFonts w:hint="eastAsia" w:ascii="宋体" w:hAnsi="宋体" w:eastAsia="宋体" w:cs="宋体"/>
          <w:bCs/>
          <w:sz w:val="28"/>
          <w:szCs w:val="28"/>
          <w:highlight w:val="none"/>
          <w:lang w:val="en-US" w:eastAsia="zh-CN"/>
        </w:rPr>
        <w:t>4-5</w:t>
      </w:r>
      <w:r>
        <w:rPr>
          <w:rFonts w:hint="default" w:ascii="宋体" w:hAnsi="宋体" w:eastAsia="宋体" w:cs="宋体"/>
          <w:bCs/>
          <w:sz w:val="28"/>
          <w:szCs w:val="28"/>
          <w:highlight w:val="none"/>
          <w:lang w:val="en-US" w:eastAsia="zh-CN"/>
        </w:rPr>
        <w:t>mm钢板制作。针对</w:t>
      </w:r>
      <w:r>
        <w:rPr>
          <w:rFonts w:hint="eastAsia" w:ascii="宋体" w:hAnsi="宋体" w:eastAsia="宋体" w:cs="宋体"/>
          <w:bCs/>
          <w:sz w:val="28"/>
          <w:szCs w:val="28"/>
          <w:highlight w:val="none"/>
          <w:lang w:val="en-US" w:eastAsia="zh-CN"/>
        </w:rPr>
        <w:t>再生铝</w:t>
      </w:r>
      <w:r>
        <w:rPr>
          <w:rFonts w:hint="default" w:ascii="宋体" w:hAnsi="宋体" w:eastAsia="宋体" w:cs="宋体"/>
          <w:bCs/>
          <w:sz w:val="28"/>
          <w:szCs w:val="28"/>
          <w:highlight w:val="none"/>
          <w:lang w:val="en-US" w:eastAsia="zh-CN"/>
        </w:rPr>
        <w:t>粉尘易堵灰的性质，灰斗斜壁与水平面的夹角≥60°，灰斗设计时考虑保温及防堵措施，防止堵料。</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差压变送器</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除尘器进出口总管设有差压变送器，以便在阻力增大时进行喷吹清灰；设置</w:t>
      </w:r>
      <w:r>
        <w:rPr>
          <w:rFonts w:hint="eastAsia" w:ascii="宋体" w:hAnsi="宋体" w:eastAsia="宋体" w:cs="宋体"/>
          <w:bCs/>
          <w:sz w:val="28"/>
          <w:szCs w:val="28"/>
          <w:highlight w:val="none"/>
          <w:lang w:val="en-US" w:eastAsia="zh-CN"/>
        </w:rPr>
        <w:t>差压表</w:t>
      </w:r>
      <w:r>
        <w:rPr>
          <w:rFonts w:hint="default" w:ascii="宋体" w:hAnsi="宋体" w:eastAsia="宋体" w:cs="宋体"/>
          <w:bCs/>
          <w:sz w:val="28"/>
          <w:szCs w:val="28"/>
          <w:highlight w:val="none"/>
          <w:lang w:val="en-US" w:eastAsia="zh-CN"/>
        </w:rPr>
        <w:t>，在滤袋故障时可准确定位仓室，便于检修维护。</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除尘器控制系统</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除尘器控制系统采用PLC进行自动控制。反吹清灰控制采用压差、时间、混合三种控制方式，混合控制方式以时间为主，压差优先，通常情况下，置于混合控制方式。控制系统设有压力检测及报警功能。控制系统留有足够的I/O接口。</w:t>
      </w:r>
    </w:p>
    <w:p>
      <w:pPr>
        <w:widowControl/>
        <w:numPr>
          <w:ilvl w:val="0"/>
          <w:numId w:val="5"/>
        </w:numPr>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除尘器配件</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default" w:ascii="宋体" w:hAnsi="宋体" w:eastAsia="宋体" w:cs="宋体"/>
          <w:bCs/>
          <w:sz w:val="28"/>
          <w:szCs w:val="28"/>
          <w:highlight w:val="none"/>
          <w:lang w:val="en-US" w:eastAsia="zh-CN"/>
        </w:rPr>
        <w:t>除尘器脉冲阀选用</w:t>
      </w:r>
      <w:r>
        <w:rPr>
          <w:rFonts w:hint="eastAsia" w:ascii="宋体" w:hAnsi="宋体" w:eastAsia="宋体" w:cs="宋体"/>
          <w:bCs/>
          <w:sz w:val="28"/>
          <w:szCs w:val="28"/>
          <w:highlight w:val="none"/>
          <w:lang w:val="en-US" w:eastAsia="zh-CN"/>
        </w:rPr>
        <w:t>3</w:t>
      </w:r>
      <w:r>
        <w:rPr>
          <w:rFonts w:hint="default" w:ascii="宋体" w:hAnsi="宋体" w:eastAsia="宋体" w:cs="宋体"/>
          <w:bCs/>
          <w:sz w:val="28"/>
          <w:szCs w:val="28"/>
          <w:highlight w:val="none"/>
          <w:lang w:val="en-US" w:eastAsia="zh-CN"/>
        </w:rPr>
        <w:t>寸淹没式DC24V脉冲阀，无故障连续工作100万次以上。</w:t>
      </w:r>
    </w:p>
    <w:p>
      <w:pPr>
        <w:pStyle w:val="3"/>
        <w:spacing w:before="0" w:after="0" w:line="360" w:lineRule="auto"/>
        <w:rPr>
          <w:rFonts w:hint="default" w:ascii="宋体" w:hAnsi="宋体" w:eastAsia="宋体" w:cstheme="minorBidi"/>
          <w:b/>
          <w:bCs/>
          <w:kern w:val="0"/>
          <w:sz w:val="32"/>
          <w:szCs w:val="32"/>
          <w:highlight w:val="none"/>
          <w:lang w:val="en-US" w:eastAsia="zh-CN" w:bidi="ar-SA"/>
        </w:rPr>
      </w:pPr>
      <w:bookmarkStart w:id="146" w:name="_Toc23085"/>
      <w:bookmarkStart w:id="147" w:name="_Toc28234"/>
      <w:bookmarkStart w:id="148" w:name="_Toc20009"/>
      <w:bookmarkStart w:id="149" w:name="_Toc1667"/>
      <w:bookmarkStart w:id="150" w:name="_Toc23819"/>
      <w:r>
        <w:rPr>
          <w:rFonts w:hint="eastAsia" w:ascii="宋体" w:hAnsi="宋体" w:eastAsia="宋体" w:cstheme="minorBidi"/>
          <w:b/>
          <w:bCs/>
          <w:kern w:val="0"/>
          <w:sz w:val="32"/>
          <w:szCs w:val="32"/>
          <w:highlight w:val="none"/>
          <w:lang w:val="en-US" w:eastAsia="zh-CN" w:bidi="ar-SA"/>
        </w:rPr>
        <w:t>6.2</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除尘系统设计</w:t>
      </w:r>
      <w:bookmarkEnd w:id="146"/>
      <w:bookmarkEnd w:id="147"/>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highlight w:val="none"/>
          <w:lang w:val="en-US" w:eastAsia="zh-CN"/>
        </w:rPr>
      </w:pPr>
      <w:r>
        <w:rPr>
          <w:rFonts w:hint="eastAsia"/>
          <w:highlight w:val="none"/>
          <w:lang w:val="en-US" w:eastAsia="zh-CN"/>
        </w:rPr>
        <w:t>6.2.1. 系统计算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（1）管道风量计算：</w:t>
      </w:r>
    </w:p>
    <w:p>
      <w:pPr>
        <w:widowControl/>
        <w:spacing w:line="360" w:lineRule="auto"/>
        <w:ind w:firstLine="560" w:firstLineChars="200"/>
        <w:jc w:val="center"/>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Q=0.785D</w:t>
      </w:r>
      <w:r>
        <w:rPr>
          <w:rFonts w:hint="eastAsia" w:ascii="宋体" w:hAnsi="宋体" w:eastAsia="宋体" w:cs="宋体"/>
          <w:bCs/>
          <w:sz w:val="28"/>
          <w:szCs w:val="28"/>
          <w:highlight w:val="none"/>
          <w:vertAlign w:val="superscript"/>
          <w:lang w:val="en-US" w:eastAsia="zh-CN"/>
        </w:rPr>
        <w:t>2</w:t>
      </w:r>
      <w:r>
        <w:rPr>
          <w:rFonts w:hint="eastAsia" w:ascii="宋体" w:hAnsi="宋体" w:eastAsia="宋体" w:cs="宋体"/>
          <w:bCs/>
          <w:sz w:val="28"/>
          <w:szCs w:val="28"/>
          <w:highlight w:val="none"/>
          <w:lang w:val="en-US" w:eastAsia="zh-CN"/>
        </w:rPr>
        <w:t>v</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式中：Q—风量，m</w:t>
      </w:r>
      <w:r>
        <w:rPr>
          <w:rFonts w:hint="eastAsia" w:ascii="宋体" w:hAnsi="宋体" w:eastAsia="宋体" w:cs="宋体"/>
          <w:bCs/>
          <w:sz w:val="28"/>
          <w:szCs w:val="28"/>
          <w:highlight w:val="none"/>
          <w:vertAlign w:val="superscript"/>
          <w:lang w:val="en-US" w:eastAsia="zh-CN"/>
        </w:rPr>
        <w:t>3</w:t>
      </w:r>
      <w:r>
        <w:rPr>
          <w:rFonts w:hint="eastAsia" w:ascii="宋体" w:hAnsi="宋体" w:eastAsia="宋体" w:cs="宋体"/>
          <w:bCs/>
          <w:sz w:val="28"/>
          <w:szCs w:val="28"/>
          <w:highlight w:val="none"/>
          <w:lang w:val="en-US" w:eastAsia="zh-CN"/>
        </w:rPr>
        <w:t>/s</w:t>
      </w:r>
    </w:p>
    <w:p>
      <w:pPr>
        <w:widowControl/>
        <w:spacing w:line="360" w:lineRule="auto"/>
        <w:ind w:firstLine="1400" w:firstLineChars="5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v—风速，m/s，平均流速＜20m/s</w:t>
      </w:r>
    </w:p>
    <w:p>
      <w:pPr>
        <w:widowControl/>
        <w:spacing w:line="360" w:lineRule="auto"/>
        <w:ind w:firstLine="1400" w:firstLineChars="5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D―管道直径，m</w:t>
      </w:r>
    </w:p>
    <w:p>
      <w:pPr>
        <w:widowControl/>
        <w:spacing w:line="360" w:lineRule="auto"/>
        <w:ind w:firstLine="562" w:firstLineChars="200"/>
        <w:jc w:val="center"/>
        <w:textAlignment w:val="baseline"/>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扬尘点管径计算表</w:t>
      </w:r>
    </w:p>
    <w:tbl>
      <w:tblPr>
        <w:tblStyle w:val="12"/>
        <w:tblW w:w="4998" w:type="pct"/>
        <w:jc w:val="center"/>
        <w:shd w:val="clear" w:color="auto" w:fill="auto"/>
        <w:tblLayout w:type="autofit"/>
        <w:tblCellMar>
          <w:top w:w="0" w:type="dxa"/>
          <w:left w:w="0" w:type="dxa"/>
          <w:bottom w:w="0" w:type="dxa"/>
          <w:right w:w="0" w:type="dxa"/>
        </w:tblCellMar>
      </w:tblPr>
      <w:tblGrid>
        <w:gridCol w:w="563"/>
        <w:gridCol w:w="3770"/>
        <w:gridCol w:w="1639"/>
        <w:gridCol w:w="1035"/>
        <w:gridCol w:w="1320"/>
      </w:tblGrid>
      <w:tr>
        <w:tblPrEx>
          <w:shd w:val="clear" w:color="auto" w:fill="auto"/>
          <w:tblCellMar>
            <w:top w:w="0" w:type="dxa"/>
            <w:left w:w="0" w:type="dxa"/>
            <w:bottom w:w="0" w:type="dxa"/>
            <w:right w:w="0" w:type="dxa"/>
          </w:tblCellMar>
        </w:tblPrEx>
        <w:trPr>
          <w:trHeight w:val="454" w:hRule="atLeast"/>
          <w:jc w:val="center"/>
        </w:trPr>
        <w:tc>
          <w:tcPr>
            <w:tcW w:w="338"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2263"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扬尘点</w:t>
            </w:r>
          </w:p>
        </w:tc>
        <w:tc>
          <w:tcPr>
            <w:tcW w:w="984"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设计风量m</w:t>
            </w:r>
            <w:r>
              <w:rPr>
                <w:rFonts w:hint="eastAsia" w:ascii="宋体" w:hAnsi="宋体" w:eastAsia="宋体" w:cs="宋体"/>
                <w:b/>
                <w:bCs w:val="0"/>
                <w:sz w:val="24"/>
                <w:szCs w:val="24"/>
                <w:highlight w:val="none"/>
                <w:vertAlign w:val="superscript"/>
                <w:lang w:val="en-US" w:eastAsia="zh-CN"/>
              </w:rPr>
              <w:t>3</w:t>
            </w:r>
            <w:r>
              <w:rPr>
                <w:rFonts w:hint="eastAsia" w:ascii="宋体" w:hAnsi="宋体" w:eastAsia="宋体" w:cs="宋体"/>
                <w:b/>
                <w:bCs w:val="0"/>
                <w:sz w:val="24"/>
                <w:szCs w:val="24"/>
                <w:highlight w:val="none"/>
                <w:lang w:val="en-US" w:eastAsia="zh-CN"/>
              </w:rPr>
              <w:t>/h</w:t>
            </w:r>
          </w:p>
        </w:tc>
        <w:tc>
          <w:tcPr>
            <w:tcW w:w="621"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风速m/s</w:t>
            </w:r>
          </w:p>
        </w:tc>
        <w:tc>
          <w:tcPr>
            <w:tcW w:w="792"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管道直径mm</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鄂式破碎机入口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18.20</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540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鄂式破碎机至1号皮带机下料口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3500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16.62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273</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渣土外运皮带机受料口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3500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16.62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273</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1#负压除尘系统合计</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18.42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670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1号振动筛筛顶</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15000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18.20</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540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2号振动筛筛顶</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15000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18.20</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540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3号振动筛筛顶</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15000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18.20</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540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反击破入口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8000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17.69</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400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反击破出口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5000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16.75</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325</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2#负压除尘系统合计</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58000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15.52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1150</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9</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1号振动筛落料口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3500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16.62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273</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2号振动筛落料口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3500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16.62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273</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3号振动筛落料口</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3500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16.62</w:t>
            </w: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kern w:val="2"/>
                <w:sz w:val="24"/>
                <w:szCs w:val="24"/>
                <w:highlight w:val="none"/>
                <w:lang w:val="en-US" w:eastAsia="zh-CN" w:bidi="ar-SA"/>
              </w:rPr>
            </w:pPr>
            <w:r>
              <w:rPr>
                <w:rFonts w:hint="eastAsia" w:ascii="宋体" w:hAnsi="宋体" w:eastAsia="宋体" w:cs="宋体"/>
                <w:bCs/>
                <w:sz w:val="24"/>
                <w:szCs w:val="24"/>
                <w:highlight w:val="none"/>
                <w:lang w:val="en-US" w:eastAsia="zh-CN"/>
              </w:rPr>
              <w:t>273</w:t>
            </w:r>
          </w:p>
        </w:tc>
      </w:tr>
      <w:tr>
        <w:tblPrEx>
          <w:tblCellMar>
            <w:top w:w="0" w:type="dxa"/>
            <w:left w:w="0" w:type="dxa"/>
            <w:bottom w:w="0" w:type="dxa"/>
            <w:right w:w="0" w:type="dxa"/>
          </w:tblCellMar>
        </w:tblPrEx>
        <w:trPr>
          <w:trHeight w:val="454" w:hRule="atLeast"/>
          <w:jc w:val="center"/>
        </w:trPr>
        <w:tc>
          <w:tcPr>
            <w:tcW w:w="338"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c>
          <w:tcPr>
            <w:tcW w:w="2263"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合计</w:t>
            </w:r>
          </w:p>
        </w:tc>
        <w:tc>
          <w:tcPr>
            <w:tcW w:w="984"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90500</w:t>
            </w:r>
          </w:p>
        </w:tc>
        <w:tc>
          <w:tcPr>
            <w:tcW w:w="621"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792"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r>
    </w:tbl>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（2）除尘器阻力计算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袋式除尘器平均阻力：第一年1400Pa</w:t>
      </w:r>
    </w:p>
    <w:p>
      <w:pPr>
        <w:widowControl/>
        <w:spacing w:line="360" w:lineRule="auto"/>
        <w:ind w:firstLine="3360" w:firstLineChars="1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第二年1500Pa</w:t>
      </w:r>
    </w:p>
    <w:p>
      <w:pPr>
        <w:widowControl/>
        <w:spacing w:line="360" w:lineRule="auto"/>
        <w:ind w:firstLine="3360" w:firstLineChars="1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第三年1700Pa</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所以最小阻力1400Pa，最大阻力1700Pa。</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（3）管道阻力计算：各段管道不同直径的管道阻力按《通风手册》P238计算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单位长度管道阻力按下式计算：</w:t>
      </w:r>
    </w:p>
    <w:p>
      <w:pPr>
        <w:widowControl/>
        <w:spacing w:line="360" w:lineRule="auto"/>
        <w:ind w:firstLine="560" w:firstLineChars="200"/>
        <w:jc w:val="center"/>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Rm=(入/4Rs)* (V</w:t>
      </w:r>
      <w:r>
        <w:rPr>
          <w:rFonts w:hint="eastAsia" w:ascii="宋体" w:hAnsi="宋体" w:eastAsia="宋体" w:cs="宋体"/>
          <w:bCs/>
          <w:sz w:val="28"/>
          <w:szCs w:val="28"/>
          <w:highlight w:val="none"/>
          <w:vertAlign w:val="superscript"/>
          <w:lang w:val="en-US" w:eastAsia="zh-CN"/>
        </w:rPr>
        <w:t>2</w:t>
      </w:r>
      <w:r>
        <w:rPr>
          <w:rFonts w:hint="eastAsia" w:ascii="宋体" w:hAnsi="宋体" w:eastAsia="宋体" w:cs="宋体"/>
          <w:bCs/>
          <w:sz w:val="28"/>
          <w:szCs w:val="28"/>
          <w:highlight w:val="none"/>
          <w:lang w:val="en-US" w:eastAsia="zh-CN"/>
        </w:rPr>
        <w:t>p/2)</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式中：Rm---单位长度阻力Pa/m</w:t>
      </w:r>
    </w:p>
    <w:p>
      <w:pPr>
        <w:widowControl/>
        <w:spacing w:line="360" w:lineRule="auto"/>
        <w:ind w:firstLine="1400" w:firstLineChars="5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V---风管内平均流速20m/s</w:t>
      </w:r>
    </w:p>
    <w:p>
      <w:pPr>
        <w:widowControl/>
        <w:spacing w:line="360" w:lineRule="auto"/>
        <w:ind w:firstLine="1400" w:firstLineChars="5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p---空气密度</w:t>
      </w:r>
    </w:p>
    <w:p>
      <w:pPr>
        <w:widowControl/>
        <w:spacing w:line="360" w:lineRule="auto"/>
        <w:ind w:firstLine="1400" w:firstLineChars="5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入---阻力系数</w:t>
      </w:r>
    </w:p>
    <w:p>
      <w:pPr>
        <w:widowControl/>
        <w:spacing w:line="360" w:lineRule="auto"/>
        <w:ind w:firstLine="1400" w:firstLineChars="5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Rs---风管水力半径</w:t>
      </w:r>
    </w:p>
    <w:p>
      <w:pPr>
        <w:widowControl/>
        <w:spacing w:line="360" w:lineRule="auto"/>
        <w:ind w:firstLine="562" w:firstLineChars="200"/>
        <w:jc w:val="left"/>
        <w:textAlignment w:val="baseline"/>
        <w:rPr>
          <w:rFonts w:hint="default" w:ascii="宋体" w:hAnsi="宋体" w:eastAsia="宋体" w:cs="宋体"/>
          <w:b/>
          <w:bCs w:val="0"/>
          <w:sz w:val="28"/>
          <w:szCs w:val="28"/>
          <w:highlight w:val="none"/>
          <w:lang w:val="en-US" w:eastAsia="zh-CN"/>
        </w:rPr>
      </w:pPr>
      <w:bookmarkStart w:id="151" w:name="_Toc14339"/>
      <w:r>
        <w:rPr>
          <w:rFonts w:hint="eastAsia" w:ascii="宋体" w:hAnsi="宋体" w:eastAsia="宋体" w:cs="宋体"/>
          <w:b/>
          <w:bCs w:val="0"/>
          <w:sz w:val="28"/>
          <w:szCs w:val="28"/>
          <w:highlight w:val="none"/>
          <w:lang w:val="en-US" w:eastAsia="zh-CN"/>
        </w:rPr>
        <w:t>1）1线（1号振动筛及2号振动筛接入除尘器管道）计算：</w:t>
      </w:r>
      <w:bookmarkEnd w:id="151"/>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2" w:name="_Toc16674"/>
      <w:r>
        <w:rPr>
          <w:rFonts w:hint="eastAsia" w:ascii="宋体" w:hAnsi="宋体" w:eastAsia="宋体" w:cs="宋体"/>
          <w:bCs/>
          <w:sz w:val="28"/>
          <w:szCs w:val="28"/>
          <w:highlight w:val="none"/>
          <w:lang w:val="en-US" w:eastAsia="zh-CN"/>
        </w:rPr>
        <w:t>1号振动筛筛顶吸尘罩管道Φ=540mm，管长8m，压力=47.11Pa；</w:t>
      </w:r>
      <w:bookmarkEnd w:id="152"/>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3" w:name="_Toc27731"/>
      <w:r>
        <w:rPr>
          <w:rFonts w:hint="eastAsia" w:ascii="宋体" w:hAnsi="宋体" w:eastAsia="宋体" w:cs="宋体"/>
          <w:bCs/>
          <w:sz w:val="28"/>
          <w:szCs w:val="28"/>
          <w:highlight w:val="none"/>
          <w:lang w:val="en-US" w:eastAsia="zh-CN"/>
        </w:rPr>
        <w:t>1号筛单机脉冲除尘器风机管道Φ=400mm，管长12m，压力=96.62Pa；</w:t>
      </w:r>
      <w:bookmarkEnd w:id="153"/>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4" w:name="_Toc1630"/>
      <w:r>
        <w:rPr>
          <w:rFonts w:hint="eastAsia" w:ascii="宋体" w:hAnsi="宋体" w:eastAsia="宋体" w:cs="宋体"/>
          <w:bCs/>
          <w:sz w:val="28"/>
          <w:szCs w:val="28"/>
          <w:highlight w:val="none"/>
          <w:lang w:val="en-US" w:eastAsia="zh-CN"/>
        </w:rPr>
        <w:t>2号振动筛1号下料口管道Φ=273mm，管长3m，压力=34.35Pa；</w:t>
      </w:r>
      <w:bookmarkEnd w:id="154"/>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5" w:name="_Toc17015"/>
      <w:r>
        <w:rPr>
          <w:rFonts w:hint="eastAsia" w:ascii="宋体" w:hAnsi="宋体" w:eastAsia="宋体" w:cs="宋体"/>
          <w:bCs/>
          <w:sz w:val="28"/>
          <w:szCs w:val="28"/>
          <w:highlight w:val="none"/>
          <w:lang w:val="en-US" w:eastAsia="zh-CN"/>
        </w:rPr>
        <w:t>2号振动筛2号下料口至3号下料口之间管道Φ=273mm，管长2m，压力=22.9Pa；</w:t>
      </w:r>
      <w:bookmarkEnd w:id="155"/>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6" w:name="_Toc9822"/>
      <w:r>
        <w:rPr>
          <w:rFonts w:hint="eastAsia" w:ascii="宋体" w:hAnsi="宋体" w:eastAsia="宋体" w:cs="宋体"/>
          <w:bCs/>
          <w:sz w:val="28"/>
          <w:szCs w:val="28"/>
          <w:highlight w:val="none"/>
          <w:lang w:val="en-US" w:eastAsia="zh-CN"/>
        </w:rPr>
        <w:t>2号振动筛3号下料口并入筛顶吸尘罩至1线主管道之间管道Φ=370mm，管长2m，压力=18.51Pa；</w:t>
      </w:r>
      <w:bookmarkEnd w:id="156"/>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7" w:name="_Toc7814"/>
      <w:r>
        <w:rPr>
          <w:rFonts w:hint="eastAsia" w:ascii="宋体" w:hAnsi="宋体" w:eastAsia="宋体" w:cs="宋体"/>
          <w:bCs/>
          <w:sz w:val="28"/>
          <w:szCs w:val="28"/>
          <w:highlight w:val="none"/>
          <w:lang w:val="en-US" w:eastAsia="zh-CN"/>
        </w:rPr>
        <w:t>2号振动筛筛顶吸尘罩至1线主管道之间管道Φ=540mm，管长2.5m，压力=14.72Pa；</w:t>
      </w:r>
      <w:bookmarkEnd w:id="157"/>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8" w:name="_Toc17698"/>
      <w:r>
        <w:rPr>
          <w:rFonts w:hint="eastAsia" w:ascii="宋体" w:hAnsi="宋体" w:eastAsia="宋体" w:cs="宋体"/>
          <w:bCs/>
          <w:sz w:val="28"/>
          <w:szCs w:val="28"/>
          <w:highlight w:val="none"/>
          <w:lang w:val="en-US" w:eastAsia="zh-CN"/>
        </w:rPr>
        <w:t>1号下料口并入筛顶吸尘罩至1线主管道，管道由Φ540mm变为Φ600mm，管长3m，压力=15.5Pa；</w:t>
      </w:r>
      <w:bookmarkEnd w:id="158"/>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59" w:name="_Toc29701"/>
      <w:r>
        <w:rPr>
          <w:rFonts w:hint="eastAsia" w:ascii="宋体" w:hAnsi="宋体" w:eastAsia="宋体" w:cs="宋体"/>
          <w:bCs/>
          <w:sz w:val="28"/>
          <w:szCs w:val="28"/>
          <w:highlight w:val="none"/>
          <w:lang w:val="en-US" w:eastAsia="zh-CN"/>
        </w:rPr>
        <w:t>1号单机接入管道后至2号振动筛并入管道前这之间管道，管道Φ=670mm，管长27m，压力=121.31Pa；</w:t>
      </w:r>
      <w:bookmarkEnd w:id="159"/>
    </w:p>
    <w:p>
      <w:pPr>
        <w:widowControl/>
        <w:spacing w:line="360" w:lineRule="auto"/>
        <w:ind w:firstLine="562" w:firstLineChars="200"/>
        <w:jc w:val="center"/>
        <w:textAlignment w:val="baseline"/>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1线风管阻力计算表</w:t>
      </w:r>
    </w:p>
    <w:tbl>
      <w:tblPr>
        <w:tblStyle w:val="12"/>
        <w:tblW w:w="4995" w:type="pct"/>
        <w:tblInd w:w="0" w:type="dxa"/>
        <w:shd w:val="clear" w:color="auto" w:fill="auto"/>
        <w:tblLayout w:type="autofit"/>
        <w:tblCellMar>
          <w:top w:w="0" w:type="dxa"/>
          <w:left w:w="0" w:type="dxa"/>
          <w:bottom w:w="0" w:type="dxa"/>
          <w:right w:w="0" w:type="dxa"/>
        </w:tblCellMar>
      </w:tblPr>
      <w:tblGrid>
        <w:gridCol w:w="1052"/>
        <w:gridCol w:w="1665"/>
        <w:gridCol w:w="1230"/>
        <w:gridCol w:w="2176"/>
        <w:gridCol w:w="2199"/>
      </w:tblGrid>
      <w:tr>
        <w:tblPrEx>
          <w:shd w:val="clear" w:color="auto" w:fill="auto"/>
          <w:tblCellMar>
            <w:top w:w="0" w:type="dxa"/>
            <w:left w:w="0" w:type="dxa"/>
            <w:bottom w:w="0" w:type="dxa"/>
            <w:right w:w="0" w:type="dxa"/>
          </w:tblCellMar>
        </w:tblPrEx>
        <w:trPr>
          <w:trHeight w:val="567" w:hRule="atLeast"/>
        </w:trPr>
        <w:tc>
          <w:tcPr>
            <w:tcW w:w="632"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1000"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管径mm</w:t>
            </w:r>
          </w:p>
        </w:tc>
        <w:tc>
          <w:tcPr>
            <w:tcW w:w="739"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长度m</w:t>
            </w:r>
          </w:p>
        </w:tc>
        <w:tc>
          <w:tcPr>
            <w:tcW w:w="1307"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单位阻力Pa/m</w:t>
            </w:r>
          </w:p>
        </w:tc>
        <w:tc>
          <w:tcPr>
            <w:tcW w:w="1320" w:type="pct"/>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24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合计阻力Pa</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540</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5.89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47.11</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400</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8.05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96.62</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273</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11.45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34.35</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273</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11.45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22.9</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370</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9.26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18.51</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540</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2.5</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5.89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14.72</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600</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5.17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15.5</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670</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27</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4.49 </w:t>
            </w:r>
          </w:p>
        </w:tc>
        <w:tc>
          <w:tcPr>
            <w:tcW w:w="132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121.31</w:t>
            </w:r>
          </w:p>
        </w:tc>
      </w:tr>
      <w:tr>
        <w:tblPrEx>
          <w:tblCellMar>
            <w:top w:w="0" w:type="dxa"/>
            <w:left w:w="0" w:type="dxa"/>
            <w:bottom w:w="0" w:type="dxa"/>
            <w:right w:w="0" w:type="dxa"/>
          </w:tblCellMar>
        </w:tblPrEx>
        <w:trPr>
          <w:trHeight w:val="567" w:hRule="atLeast"/>
        </w:trPr>
        <w:tc>
          <w:tcPr>
            <w:tcW w:w="632" w:type="pct"/>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000"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合计</w:t>
            </w:r>
          </w:p>
        </w:tc>
        <w:tc>
          <w:tcPr>
            <w:tcW w:w="739"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59.5</w:t>
            </w:r>
          </w:p>
        </w:tc>
        <w:tc>
          <w:tcPr>
            <w:tcW w:w="1307" w:type="pct"/>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320" w:type="pct"/>
            <w:tcBorders>
              <w:top w:val="nil"/>
              <w:left w:val="nil"/>
              <w:bottom w:val="single" w:color="000000" w:sz="8" w:space="0"/>
              <w:right w:val="single" w:color="000000" w:sz="8" w:space="0"/>
            </w:tcBorders>
            <w:shd w:val="clear" w:color="auto" w:fill="auto"/>
            <w:noWrap/>
            <w:tcMar>
              <w:top w:w="12" w:type="dxa"/>
              <w:left w:w="12" w:type="dxa"/>
              <w:right w:w="12"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371.02</w:t>
            </w:r>
          </w:p>
        </w:tc>
      </w:tr>
    </w:tbl>
    <w:p>
      <w:pPr>
        <w:widowControl/>
        <w:spacing w:line="360" w:lineRule="auto"/>
        <w:ind w:firstLine="480" w:firstLineChars="200"/>
        <w:jc w:val="left"/>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说明：所有收尘点全部安装手动调节阀门，管网系统得压力平衡通过管径得变化以及阀门的开关度来进行现场调节，以上设计及计算仅为理论计算，仅具备参考价值。</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管道系统阻力计算：</w:t>
      </w:r>
    </w:p>
    <w:p>
      <w:pPr>
        <w:widowControl/>
        <w:spacing w:line="360" w:lineRule="auto"/>
        <w:ind w:firstLine="560" w:firstLineChars="200"/>
        <w:jc w:val="center"/>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ΔP=ΔPm+ΔPo</w:t>
      </w:r>
    </w:p>
    <w:p>
      <w:pPr>
        <w:widowControl/>
        <w:spacing w:line="360" w:lineRule="auto"/>
        <w:ind w:left="1399" w:leftChars="266" w:hanging="840" w:hangingChars="3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式中：ΔPm---沿程阻力损失</w:t>
      </w:r>
      <w:r>
        <w:rPr>
          <w:rFonts w:hint="eastAsia" w:ascii="宋体" w:hAnsi="宋体" w:eastAsia="宋体" w:cs="宋体"/>
          <w:bCs/>
          <w:sz w:val="28"/>
          <w:szCs w:val="28"/>
          <w:highlight w:val="none"/>
          <w:lang w:val="en-US" w:eastAsia="zh-CN"/>
        </w:rPr>
        <w:br w:type="textWrapping"/>
      </w:r>
      <w:r>
        <w:rPr>
          <w:rFonts w:hint="eastAsia" w:ascii="宋体" w:hAnsi="宋体" w:eastAsia="宋体" w:cs="宋体"/>
          <w:bCs/>
          <w:sz w:val="28"/>
          <w:szCs w:val="28"/>
          <w:highlight w:val="none"/>
          <w:lang w:val="en-US" w:eastAsia="zh-CN"/>
        </w:rPr>
        <w:t xml:space="preserve">ΔPo---局部阻力损失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参数说明：管路摩擦阻力系数取0.025；局部阻力系数：弯头0.011，闸板0.02，收缩段0.04；原气密度1.268 kg/m</w:t>
      </w:r>
      <w:r>
        <w:rPr>
          <w:rFonts w:hint="eastAsia" w:ascii="宋体" w:hAnsi="宋体" w:eastAsia="宋体" w:cs="宋体"/>
          <w:bCs/>
          <w:sz w:val="28"/>
          <w:szCs w:val="28"/>
          <w:highlight w:val="none"/>
          <w:vertAlign w:val="superscript"/>
          <w:lang w:val="en-US" w:eastAsia="zh-CN"/>
        </w:rPr>
        <w:t>3</w:t>
      </w:r>
      <w:r>
        <w:rPr>
          <w:rFonts w:hint="eastAsia" w:ascii="宋体" w:hAnsi="宋体" w:eastAsia="宋体" w:cs="宋体"/>
          <w:bCs/>
          <w:sz w:val="28"/>
          <w:szCs w:val="28"/>
          <w:highlight w:val="none"/>
          <w:lang w:val="en-US" w:eastAsia="zh-CN"/>
        </w:rPr>
        <w:t>。</w:t>
      </w:r>
    </w:p>
    <w:p>
      <w:pPr>
        <w:widowControl/>
        <w:spacing w:line="360" w:lineRule="auto"/>
        <w:ind w:firstLine="560" w:firstLineChars="200"/>
        <w:jc w:val="left"/>
        <w:textAlignment w:val="baseline"/>
        <w:rPr>
          <w:rFonts w:hint="default" w:ascii="微软雅黑" w:hAnsi="微软雅黑" w:eastAsia="微软雅黑" w:cs="微软雅黑"/>
          <w:i w:val="0"/>
          <w:caps w:val="0"/>
          <w:color w:val="333333"/>
          <w:spacing w:val="0"/>
          <w:sz w:val="19"/>
          <w:szCs w:val="19"/>
          <w:highlight w:val="none"/>
          <w:shd w:val="clear" w:fill="FFFFFF"/>
          <w:lang w:val="en-US" w:eastAsia="zh-CN"/>
        </w:rPr>
      </w:pPr>
      <w:r>
        <w:rPr>
          <w:rFonts w:hint="eastAsia" w:ascii="宋体" w:hAnsi="宋体" w:eastAsia="宋体" w:cs="宋体"/>
          <w:bCs/>
          <w:sz w:val="28"/>
          <w:szCs w:val="28"/>
          <w:highlight w:val="none"/>
          <w:lang w:val="en-US" w:eastAsia="zh-CN"/>
        </w:rPr>
        <w:t>1线管道沿程阻力合计为371.02Pa，局部阻力按沿程阻力30%计算得，1线管道阻力=371.02x（1+0.30）=482.33Pa。</w:t>
      </w:r>
    </w:p>
    <w:p>
      <w:pPr>
        <w:widowControl/>
        <w:spacing w:line="360" w:lineRule="auto"/>
        <w:ind w:firstLine="562" w:firstLineChars="200"/>
        <w:jc w:val="left"/>
        <w:textAlignment w:val="baseline"/>
        <w:rPr>
          <w:rFonts w:hint="default" w:ascii="宋体" w:hAnsi="宋体" w:eastAsia="宋体" w:cs="宋体"/>
          <w:b/>
          <w:bCs w:val="0"/>
          <w:sz w:val="28"/>
          <w:szCs w:val="28"/>
          <w:highlight w:val="none"/>
          <w:lang w:val="en-US" w:eastAsia="zh-CN"/>
        </w:rPr>
      </w:pPr>
      <w:bookmarkStart w:id="160" w:name="_Toc21638"/>
      <w:r>
        <w:rPr>
          <w:rFonts w:hint="eastAsia" w:ascii="宋体" w:hAnsi="宋体" w:eastAsia="宋体" w:cs="宋体"/>
          <w:b/>
          <w:bCs w:val="0"/>
          <w:sz w:val="28"/>
          <w:szCs w:val="28"/>
          <w:highlight w:val="none"/>
          <w:lang w:val="en-US" w:eastAsia="zh-CN"/>
        </w:rPr>
        <w:t>2）2线（3号振动筛及反击破接入除尘器管道）</w:t>
      </w:r>
      <w:bookmarkEnd w:id="160"/>
      <w:r>
        <w:rPr>
          <w:rFonts w:hint="eastAsia" w:ascii="宋体" w:hAnsi="宋体" w:eastAsia="宋体" w:cs="宋体"/>
          <w:b/>
          <w:bCs w:val="0"/>
          <w:sz w:val="28"/>
          <w:szCs w:val="28"/>
          <w:highlight w:val="none"/>
          <w:lang w:val="en-US" w:eastAsia="zh-CN"/>
        </w:rPr>
        <w:t>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1" w:name="_Toc20742"/>
      <w:r>
        <w:rPr>
          <w:rFonts w:hint="eastAsia" w:ascii="宋体" w:hAnsi="宋体" w:eastAsia="宋体" w:cs="宋体"/>
          <w:bCs/>
          <w:sz w:val="28"/>
          <w:szCs w:val="28"/>
          <w:highlight w:val="none"/>
          <w:lang w:val="en-US" w:eastAsia="zh-CN"/>
        </w:rPr>
        <w:t>反击破入口至2线主管道，管道Φ=400mm，管长2m，压力=16.1Pa；</w:t>
      </w:r>
      <w:bookmarkEnd w:id="161"/>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2" w:name="_Toc756"/>
      <w:r>
        <w:rPr>
          <w:rFonts w:hint="eastAsia" w:ascii="宋体" w:hAnsi="宋体" w:eastAsia="宋体" w:cs="宋体"/>
          <w:bCs/>
          <w:sz w:val="28"/>
          <w:szCs w:val="28"/>
          <w:highlight w:val="none"/>
          <w:lang w:val="en-US" w:eastAsia="zh-CN"/>
        </w:rPr>
        <w:t>反击破出口并入2线主管道，管道Φ=320mm，管长5m，压力=50.66Pa；</w:t>
      </w:r>
      <w:bookmarkEnd w:id="162"/>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3" w:name="_Toc17530"/>
      <w:r>
        <w:rPr>
          <w:rFonts w:hint="eastAsia" w:ascii="宋体" w:hAnsi="宋体" w:eastAsia="宋体" w:cs="宋体"/>
          <w:bCs/>
          <w:sz w:val="28"/>
          <w:szCs w:val="28"/>
          <w:highlight w:val="none"/>
          <w:lang w:val="en-US" w:eastAsia="zh-CN"/>
        </w:rPr>
        <w:t>3号振动筛筛顶吸尘罩管道并入2线主管道，管道Φ=540mm，管长4.5m，压力=26.5Pa；</w:t>
      </w:r>
      <w:bookmarkEnd w:id="163"/>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4" w:name="_Toc27038"/>
      <w:r>
        <w:rPr>
          <w:rFonts w:hint="eastAsia" w:ascii="宋体" w:hAnsi="宋体" w:eastAsia="宋体" w:cs="宋体"/>
          <w:bCs/>
          <w:sz w:val="28"/>
          <w:szCs w:val="28"/>
          <w:highlight w:val="none"/>
          <w:lang w:val="en-US" w:eastAsia="zh-CN"/>
        </w:rPr>
        <w:t>反击破出口并入2线主管道后至3号振动筛筛顶吸尘罩管道并入2线主管道前之间，管道Φ=500mm，管长9m，压力=59.46Pa；</w:t>
      </w:r>
      <w:bookmarkEnd w:id="164"/>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5" w:name="_Toc5419"/>
      <w:r>
        <w:rPr>
          <w:rFonts w:hint="eastAsia" w:ascii="宋体" w:hAnsi="宋体" w:eastAsia="宋体" w:cs="宋体"/>
          <w:bCs/>
          <w:sz w:val="28"/>
          <w:szCs w:val="28"/>
          <w:highlight w:val="none"/>
          <w:lang w:val="en-US" w:eastAsia="zh-CN"/>
        </w:rPr>
        <w:t>3号振动筛单机除尘风机管道并入2线主管道后，管道由Φ400mm变为Φ560mm，管长8m，压力=44.35Pa；</w:t>
      </w:r>
      <w:bookmarkEnd w:id="165"/>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6" w:name="_Toc29753"/>
      <w:r>
        <w:rPr>
          <w:rFonts w:hint="eastAsia" w:ascii="宋体" w:hAnsi="宋体" w:eastAsia="宋体" w:cs="宋体"/>
          <w:bCs/>
          <w:sz w:val="28"/>
          <w:szCs w:val="28"/>
          <w:highlight w:val="none"/>
          <w:lang w:val="en-US" w:eastAsia="zh-CN"/>
        </w:rPr>
        <w:t>3号筛筛顶吸尘罩并入2线主管道后并入2线主管道前之间，管道Φ=740mm，管长3m，压力=11.9Pa；</w:t>
      </w:r>
      <w:bookmarkEnd w:id="166"/>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7" w:name="_Toc8258"/>
      <w:r>
        <w:rPr>
          <w:rFonts w:hint="eastAsia" w:ascii="宋体" w:hAnsi="宋体" w:eastAsia="宋体" w:cs="宋体"/>
          <w:bCs/>
          <w:sz w:val="28"/>
          <w:szCs w:val="28"/>
          <w:highlight w:val="none"/>
          <w:lang w:val="en-US" w:eastAsia="zh-CN"/>
        </w:rPr>
        <w:t>1线主管道及2线主管道交汇进入除尘器入口管道，管道Φ=1150mm，管长2m，压力=3.79Pa；</w:t>
      </w:r>
      <w:bookmarkEnd w:id="167"/>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8" w:name="_Toc26774"/>
      <w:r>
        <w:rPr>
          <w:rFonts w:hint="eastAsia" w:ascii="宋体" w:hAnsi="宋体" w:eastAsia="宋体" w:cs="宋体"/>
          <w:bCs/>
          <w:sz w:val="28"/>
          <w:szCs w:val="28"/>
          <w:highlight w:val="none"/>
          <w:lang w:val="en-US" w:eastAsia="zh-CN"/>
        </w:rPr>
        <w:t>交汇处至除尘器管道入口处，管道Φ=1150mm，管长19.5m，压力=33.18Pa。</w:t>
      </w:r>
      <w:bookmarkEnd w:id="168"/>
    </w:p>
    <w:p>
      <w:pPr>
        <w:widowControl/>
        <w:spacing w:line="360" w:lineRule="auto"/>
        <w:ind w:firstLine="562" w:firstLineChars="200"/>
        <w:jc w:val="center"/>
        <w:textAlignment w:val="baseline"/>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2线风管阻力计算表</w:t>
      </w:r>
    </w:p>
    <w:tbl>
      <w:tblPr>
        <w:tblStyle w:val="12"/>
        <w:tblW w:w="4995" w:type="pct"/>
        <w:tblInd w:w="0" w:type="dxa"/>
        <w:shd w:val="clear" w:color="auto" w:fill="auto"/>
        <w:tblLayout w:type="autofit"/>
        <w:tblCellMar>
          <w:top w:w="0" w:type="dxa"/>
          <w:left w:w="0" w:type="dxa"/>
          <w:bottom w:w="0" w:type="dxa"/>
          <w:right w:w="0" w:type="dxa"/>
        </w:tblCellMar>
      </w:tblPr>
      <w:tblGrid>
        <w:gridCol w:w="1052"/>
        <w:gridCol w:w="1665"/>
        <w:gridCol w:w="1230"/>
        <w:gridCol w:w="2176"/>
        <w:gridCol w:w="2199"/>
      </w:tblGrid>
      <w:tr>
        <w:tblPrEx>
          <w:shd w:val="clear" w:color="auto" w:fill="auto"/>
          <w:tblCellMar>
            <w:top w:w="0" w:type="dxa"/>
            <w:left w:w="0" w:type="dxa"/>
            <w:bottom w:w="0" w:type="dxa"/>
            <w:right w:w="0" w:type="dxa"/>
          </w:tblCellMar>
        </w:tblPrEx>
        <w:trPr>
          <w:trHeight w:val="567" w:hRule="atLeast"/>
        </w:trPr>
        <w:tc>
          <w:tcPr>
            <w:tcW w:w="105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sz w:val="24"/>
                <w:szCs w:val="24"/>
                <w:highlight w:val="none"/>
                <w:lang w:val="en-US" w:eastAsia="zh-CN"/>
              </w:rPr>
            </w:pPr>
            <w:r>
              <w:rPr>
                <w:rFonts w:hint="eastAsia" w:ascii="宋体" w:hAnsi="宋体" w:eastAsia="宋体" w:cs="宋体"/>
                <w:b/>
                <w:i w:val="0"/>
                <w:color w:val="000000"/>
                <w:kern w:val="0"/>
                <w:sz w:val="24"/>
                <w:szCs w:val="24"/>
                <w:highlight w:val="none"/>
                <w:u w:val="none"/>
                <w:lang w:val="en-US" w:eastAsia="zh-CN" w:bidi="ar"/>
              </w:rPr>
              <w:t>序号</w:t>
            </w:r>
          </w:p>
        </w:tc>
        <w:tc>
          <w:tcPr>
            <w:tcW w:w="1665" w:type="dxa"/>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sz w:val="24"/>
                <w:szCs w:val="24"/>
                <w:highlight w:val="none"/>
                <w:lang w:val="en-US" w:eastAsia="zh-CN"/>
              </w:rPr>
            </w:pPr>
            <w:r>
              <w:rPr>
                <w:rFonts w:hint="eastAsia" w:ascii="宋体" w:hAnsi="宋体" w:eastAsia="宋体" w:cs="宋体"/>
                <w:b/>
                <w:i w:val="0"/>
                <w:color w:val="000000"/>
                <w:kern w:val="0"/>
                <w:sz w:val="24"/>
                <w:szCs w:val="24"/>
                <w:highlight w:val="none"/>
                <w:u w:val="none"/>
                <w:lang w:val="en-US" w:eastAsia="zh-CN" w:bidi="ar"/>
              </w:rPr>
              <w:t>管径mm</w:t>
            </w:r>
          </w:p>
        </w:tc>
        <w:tc>
          <w:tcPr>
            <w:tcW w:w="1230" w:type="dxa"/>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sz w:val="24"/>
                <w:szCs w:val="24"/>
                <w:highlight w:val="none"/>
                <w:lang w:val="en-US" w:eastAsia="zh-CN"/>
              </w:rPr>
            </w:pPr>
            <w:r>
              <w:rPr>
                <w:rFonts w:hint="eastAsia" w:ascii="宋体" w:hAnsi="宋体" w:eastAsia="宋体" w:cs="宋体"/>
                <w:b/>
                <w:i w:val="0"/>
                <w:color w:val="000000"/>
                <w:kern w:val="0"/>
                <w:sz w:val="24"/>
                <w:szCs w:val="24"/>
                <w:highlight w:val="none"/>
                <w:u w:val="none"/>
                <w:lang w:val="en-US" w:eastAsia="zh-CN" w:bidi="ar"/>
              </w:rPr>
              <w:t>长度m</w:t>
            </w:r>
          </w:p>
        </w:tc>
        <w:tc>
          <w:tcPr>
            <w:tcW w:w="2176" w:type="dxa"/>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sz w:val="24"/>
                <w:szCs w:val="24"/>
                <w:highlight w:val="none"/>
                <w:lang w:val="en-US" w:eastAsia="zh-CN"/>
              </w:rPr>
            </w:pPr>
            <w:r>
              <w:rPr>
                <w:rFonts w:hint="eastAsia" w:ascii="宋体" w:hAnsi="宋体" w:eastAsia="宋体" w:cs="宋体"/>
                <w:b/>
                <w:i w:val="0"/>
                <w:color w:val="000000"/>
                <w:kern w:val="0"/>
                <w:sz w:val="24"/>
                <w:szCs w:val="24"/>
                <w:highlight w:val="none"/>
                <w:u w:val="none"/>
                <w:lang w:val="en-US" w:eastAsia="zh-CN" w:bidi="ar"/>
              </w:rPr>
              <w:t>单位阻力Pa/m</w:t>
            </w:r>
          </w:p>
        </w:tc>
        <w:tc>
          <w:tcPr>
            <w:tcW w:w="2199" w:type="dxa"/>
            <w:tcBorders>
              <w:top w:val="single" w:color="000000" w:sz="8" w:space="0"/>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sz w:val="24"/>
                <w:szCs w:val="24"/>
                <w:highlight w:val="none"/>
                <w:lang w:val="en-US" w:eastAsia="zh-CN"/>
              </w:rPr>
            </w:pPr>
            <w:r>
              <w:rPr>
                <w:rFonts w:hint="eastAsia" w:ascii="宋体" w:hAnsi="宋体" w:eastAsia="宋体" w:cs="宋体"/>
                <w:b/>
                <w:i w:val="0"/>
                <w:color w:val="000000"/>
                <w:kern w:val="0"/>
                <w:sz w:val="24"/>
                <w:szCs w:val="24"/>
                <w:highlight w:val="none"/>
                <w:u w:val="none"/>
                <w:lang w:val="en-US" w:eastAsia="zh-CN" w:bidi="ar"/>
              </w:rPr>
              <w:t>合计阻力Pa</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1</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400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2</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8.05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16.1</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2</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320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10.13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50.66</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3</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540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4.5</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5.89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26.5</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4</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500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9</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6.61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59.46</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560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8</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5.54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44.35</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6</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740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3</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3.97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11.9</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7</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1150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2</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1.90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3.79</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8</w:t>
            </w: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1150</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19.5</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 xml:space="preserve">1.70 </w:t>
            </w:r>
          </w:p>
        </w:tc>
        <w:tc>
          <w:tcPr>
            <w:tcW w:w="2199"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33.18</w:t>
            </w:r>
          </w:p>
        </w:tc>
      </w:tr>
      <w:tr>
        <w:tblPrEx>
          <w:tblCellMar>
            <w:top w:w="0" w:type="dxa"/>
            <w:left w:w="0" w:type="dxa"/>
            <w:bottom w:w="0" w:type="dxa"/>
            <w:right w:w="0" w:type="dxa"/>
          </w:tblCellMar>
        </w:tblPrEx>
        <w:trPr>
          <w:trHeight w:val="567" w:hRule="atLeast"/>
        </w:trPr>
        <w:tc>
          <w:tcPr>
            <w:tcW w:w="1052" w:type="dxa"/>
            <w:tcBorders>
              <w:top w:val="nil"/>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bCs/>
                <w:sz w:val="24"/>
                <w:szCs w:val="24"/>
                <w:highlight w:val="none"/>
                <w:lang w:val="en-US" w:eastAsia="zh-CN"/>
              </w:rPr>
            </w:pPr>
          </w:p>
        </w:tc>
        <w:tc>
          <w:tcPr>
            <w:tcW w:w="1665"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合计</w:t>
            </w:r>
          </w:p>
        </w:tc>
        <w:tc>
          <w:tcPr>
            <w:tcW w:w="1230"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53</w:t>
            </w:r>
          </w:p>
        </w:tc>
        <w:tc>
          <w:tcPr>
            <w:tcW w:w="2176" w:type="dxa"/>
            <w:tcBorders>
              <w:top w:val="nil"/>
              <w:left w:val="nil"/>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bCs/>
                <w:sz w:val="24"/>
                <w:szCs w:val="24"/>
                <w:highlight w:val="none"/>
                <w:lang w:val="en-US" w:eastAsia="zh-CN"/>
              </w:rPr>
            </w:pPr>
          </w:p>
        </w:tc>
        <w:tc>
          <w:tcPr>
            <w:tcW w:w="2199" w:type="dxa"/>
            <w:tcBorders>
              <w:top w:val="nil"/>
              <w:left w:val="nil"/>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245.94</w:t>
            </w:r>
          </w:p>
        </w:tc>
      </w:tr>
    </w:tbl>
    <w:p>
      <w:pPr>
        <w:widowControl/>
        <w:spacing w:line="360" w:lineRule="auto"/>
        <w:ind w:firstLine="480" w:firstLineChars="200"/>
        <w:jc w:val="left"/>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说明：所有收尘点全部安装手动调节阀门，管网系统得压力平衡通过管径得变化以及阀门的开关度来进行现场调节，以上设计及计算仅为理论计算，仅具备参考价值。</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管道系统阻力计算：</w:t>
      </w:r>
    </w:p>
    <w:p>
      <w:pPr>
        <w:widowControl/>
        <w:spacing w:line="360" w:lineRule="auto"/>
        <w:ind w:firstLine="560" w:firstLineChars="200"/>
        <w:jc w:val="center"/>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ΔP=ΔPm+ΔPo</w:t>
      </w:r>
    </w:p>
    <w:p>
      <w:pPr>
        <w:widowControl/>
        <w:spacing w:line="360" w:lineRule="auto"/>
        <w:ind w:left="1399" w:leftChars="266" w:hanging="840" w:hangingChars="3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式中：ΔPm---沿程阻力损失</w:t>
      </w:r>
      <w:r>
        <w:rPr>
          <w:rFonts w:hint="eastAsia" w:ascii="宋体" w:hAnsi="宋体" w:eastAsia="宋体" w:cs="宋体"/>
          <w:bCs/>
          <w:sz w:val="28"/>
          <w:szCs w:val="28"/>
          <w:highlight w:val="none"/>
          <w:lang w:val="en-US" w:eastAsia="zh-CN"/>
        </w:rPr>
        <w:br w:type="textWrapping"/>
      </w:r>
      <w:r>
        <w:rPr>
          <w:rFonts w:hint="eastAsia" w:ascii="宋体" w:hAnsi="宋体" w:eastAsia="宋体" w:cs="宋体"/>
          <w:bCs/>
          <w:sz w:val="28"/>
          <w:szCs w:val="28"/>
          <w:highlight w:val="none"/>
          <w:lang w:val="en-US" w:eastAsia="zh-CN"/>
        </w:rPr>
        <w:t xml:space="preserve">ΔPo---局部阻力损失 </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参数说明：管路摩擦阻力系数取0.025；局部阻力系数：弯头0.011，闸板0.02，收缩段0.04；原气密度1.268 kg/m</w:t>
      </w:r>
      <w:r>
        <w:rPr>
          <w:rFonts w:hint="eastAsia" w:ascii="宋体" w:hAnsi="宋体" w:eastAsia="宋体" w:cs="宋体"/>
          <w:bCs/>
          <w:sz w:val="28"/>
          <w:szCs w:val="28"/>
          <w:highlight w:val="none"/>
          <w:vertAlign w:val="superscript"/>
          <w:lang w:val="en-US" w:eastAsia="zh-CN"/>
        </w:rPr>
        <w:t>3</w:t>
      </w:r>
      <w:r>
        <w:rPr>
          <w:rFonts w:hint="eastAsia" w:ascii="宋体" w:hAnsi="宋体" w:eastAsia="宋体" w:cs="宋体"/>
          <w:bCs/>
          <w:sz w:val="28"/>
          <w:szCs w:val="28"/>
          <w:highlight w:val="none"/>
          <w:lang w:val="en-US" w:eastAsia="zh-CN"/>
        </w:rPr>
        <w:t>。</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2线管道沿程阻力合计为245.94Pa，局部阻力按沿程阻力30%计算得，1线管道阻力=245.94x（1+0.30）=319.72Pa。</w:t>
      </w:r>
    </w:p>
    <w:p>
      <w:pPr>
        <w:widowControl/>
        <w:numPr>
          <w:ilvl w:val="0"/>
          <w:numId w:val="2"/>
        </w:numPr>
        <w:spacing w:line="360" w:lineRule="auto"/>
        <w:ind w:left="0" w:leftChars="0"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系统阻力计算</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系统最大阻力=1.20x（袋式除尘器阻力+管道阻力）</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=1.2x（1700+482.33）=2618.80Pa，</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系统最小阻力=1.10x（袋式除尘器阻力+管道阻力）</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=1.1x（1400+319.72）=1891.70Pa</w:t>
      </w:r>
    </w:p>
    <w:p>
      <w:pPr>
        <w:pStyle w:val="4"/>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b/>
          <w:highlight w:val="none"/>
          <w:lang w:val="en-US" w:eastAsia="zh-CN"/>
        </w:rPr>
      </w:pPr>
      <w:r>
        <w:rPr>
          <w:rFonts w:hint="eastAsia"/>
          <w:b/>
          <w:highlight w:val="none"/>
          <w:lang w:val="en-US" w:eastAsia="zh-CN"/>
        </w:rPr>
        <w:t>6.2.2. 系统设计</w:t>
      </w:r>
      <w:bookmarkEnd w:id="148"/>
      <w:bookmarkEnd w:id="149"/>
      <w:bookmarkEnd w:id="150"/>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69" w:name="_Toc31079"/>
      <w:r>
        <w:rPr>
          <w:rFonts w:hint="eastAsia" w:ascii="宋体" w:hAnsi="宋体" w:eastAsia="宋体" w:cs="宋体"/>
          <w:bCs/>
          <w:sz w:val="28"/>
          <w:szCs w:val="28"/>
          <w:highlight w:val="none"/>
          <w:lang w:val="en-US" w:eastAsia="zh-CN"/>
        </w:rPr>
        <w:t>根据上述粉尘治理方案以及现场实际情况，出于经济实用原则，本方案拟定2台气箱脉冲布袋除尘器。</w:t>
      </w:r>
      <w:bookmarkEnd w:id="169"/>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70" w:name="_Toc21146"/>
      <w:r>
        <w:rPr>
          <w:rFonts w:hint="eastAsia" w:ascii="宋体" w:hAnsi="宋体" w:eastAsia="宋体" w:cs="宋体"/>
          <w:bCs/>
          <w:sz w:val="28"/>
          <w:szCs w:val="28"/>
          <w:highlight w:val="none"/>
          <w:lang w:val="en-US" w:eastAsia="zh-CN"/>
        </w:rPr>
        <w:t>1号气箱脉冲除尘器，处理点位分别为鄂式破碎机入料口、鄂式破碎机至1号皮带机下料口、渣土外运皮带机受料口，处理总风量为22000m³/h，设计除尘器为PPCS96-5气箱脉冲布袋除尘器，除尘系统管网阻力平衡通过改变管径以及改变阀门的开度来进行调整，且在管道拐弯处设置检查门，以防止管道积灰。</w:t>
      </w:r>
      <w:bookmarkEnd w:id="170"/>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71" w:name="_Toc21145"/>
      <w:r>
        <w:rPr>
          <w:rFonts w:hint="eastAsia" w:ascii="宋体" w:hAnsi="宋体" w:eastAsia="宋体" w:cs="宋体"/>
          <w:bCs/>
          <w:sz w:val="28"/>
          <w:szCs w:val="28"/>
          <w:highlight w:val="none"/>
          <w:lang w:val="en-US" w:eastAsia="zh-CN"/>
        </w:rPr>
        <w:t>2号气箱脉冲布袋除尘器，处理点位分别为1号振动筛筛顶、2号振动筛筛顶、3号振动筛筛顶、反击破入口、反击破出口，处理总风量为68500m³/h，根据现场实际情况，点位间隔较远，且高低不一，该除尘器设计过程中计算20%的余量，确保粉尘的捕集率，即该除尘器设计总风量约为82000m³/h，设计除尘器暂定为PPCS128-12气箱脉冲布袋除尘器，除尘系统管网阻力平衡通过改变管径以及改变阀门的开度来进行调整，且在管道拐弯处设置检查门，以防止管道积灰。</w:t>
      </w:r>
      <w:bookmarkEnd w:id="171"/>
    </w:p>
    <w:p>
      <w:pPr>
        <w:pStyle w:val="3"/>
        <w:spacing w:before="0" w:after="0" w:line="360" w:lineRule="auto"/>
        <w:rPr>
          <w:rFonts w:hint="eastAsia" w:ascii="宋体" w:hAnsi="宋体" w:eastAsia="宋体" w:cstheme="minorBidi"/>
          <w:b/>
          <w:bCs/>
          <w:kern w:val="0"/>
          <w:sz w:val="32"/>
          <w:szCs w:val="32"/>
          <w:highlight w:val="none"/>
          <w:lang w:val="en-US" w:eastAsia="zh-CN" w:bidi="ar-SA"/>
        </w:rPr>
      </w:pPr>
      <w:bookmarkStart w:id="172" w:name="_Toc17360"/>
      <w:bookmarkStart w:id="173" w:name="_Toc16644"/>
      <w:bookmarkStart w:id="174" w:name="_Toc2734"/>
      <w:bookmarkStart w:id="175" w:name="_Toc1269"/>
      <w:bookmarkStart w:id="176" w:name="_Toc5085"/>
      <w:r>
        <w:rPr>
          <w:rFonts w:hint="eastAsia" w:ascii="宋体" w:hAnsi="宋体" w:eastAsia="宋体" w:cstheme="minorBidi"/>
          <w:b/>
          <w:bCs/>
          <w:kern w:val="0"/>
          <w:sz w:val="32"/>
          <w:szCs w:val="32"/>
          <w:highlight w:val="none"/>
          <w:lang w:val="en-US" w:eastAsia="zh-CN" w:bidi="ar-SA"/>
        </w:rPr>
        <w:t>6.3</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除尘器技术参数</w:t>
      </w:r>
      <w:bookmarkEnd w:id="143"/>
      <w:bookmarkEnd w:id="144"/>
      <w:bookmarkEnd w:id="172"/>
      <w:bookmarkEnd w:id="173"/>
      <w:bookmarkEnd w:id="174"/>
      <w:bookmarkEnd w:id="175"/>
      <w:bookmarkEnd w:id="176"/>
    </w:p>
    <w:p>
      <w:pPr>
        <w:widowControl/>
        <w:spacing w:line="360" w:lineRule="auto"/>
        <w:jc w:val="center"/>
        <w:textAlignment w:val="baseline"/>
        <w:rPr>
          <w:rFonts w:hint="default"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PPCS96-5气箱脉冲布袋除尘器技术参数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408"/>
        <w:gridCol w:w="1546"/>
        <w:gridCol w:w="2767"/>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序号</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项目</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技术参数</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处理风量</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22000-24000m</w:t>
            </w:r>
            <w:r>
              <w:rPr>
                <w:rFonts w:hint="eastAsia" w:ascii="宋体" w:hAnsi="宋体" w:eastAsia="宋体" w:cs="宋体"/>
                <w:bCs/>
                <w:sz w:val="24"/>
                <w:szCs w:val="24"/>
                <w:highlight w:val="none"/>
                <w:vertAlign w:val="superscript"/>
                <w:lang w:val="en-US" w:eastAsia="zh-CN"/>
              </w:rPr>
              <w:t>3</w:t>
            </w:r>
            <w:r>
              <w:rPr>
                <w:rFonts w:hint="eastAsia" w:ascii="宋体" w:hAnsi="宋体" w:eastAsia="宋体" w:cs="宋体"/>
                <w:bCs/>
                <w:sz w:val="24"/>
                <w:szCs w:val="24"/>
                <w:highlight w:val="none"/>
                <w:lang w:val="en-US" w:eastAsia="zh-CN"/>
              </w:rPr>
              <w:t>/h</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出口含尘浓度</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≦10mg/Nm</w:t>
            </w:r>
            <w:r>
              <w:rPr>
                <w:rFonts w:hint="eastAsia" w:ascii="宋体" w:hAnsi="宋体" w:eastAsia="宋体" w:cs="宋体"/>
                <w:bCs/>
                <w:sz w:val="24"/>
                <w:szCs w:val="24"/>
                <w:highlight w:val="none"/>
                <w:vertAlign w:val="superscript"/>
                <w:lang w:val="en-US" w:eastAsia="zh-CN"/>
              </w:rPr>
              <w:t>3</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进风压力</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常压</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总过滤面积</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600㎡</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过滤风速</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0.61-0.76m/min</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收尘器阻力</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&lt;1500Pa</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1408" w:type="dxa"/>
            <w:vMerge w:val="restart"/>
            <w:noWrap w:val="0"/>
            <w:textDirection w:val="tbRlV"/>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引风机</w:t>
            </w: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型号</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G6-51NO9D</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转速</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1370r/min</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流量</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16000~38000m³/h</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电机型号</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YE2225S-4-37KW，</w:t>
            </w:r>
            <w:r>
              <w:rPr>
                <w:rFonts w:hint="eastAsia" w:cs="Times New Roman" w:eastAsiaTheme="minorEastAsia"/>
                <w:color w:val="auto"/>
                <w:sz w:val="21"/>
                <w:szCs w:val="21"/>
                <w:highlight w:val="none"/>
                <w:lang w:val="en-US" w:eastAsia="zh-CN"/>
              </w:rPr>
              <w:t>变频电机</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电机功率</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37KW</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bl>
    <w:p>
      <w:pPr>
        <w:widowControl/>
        <w:spacing w:line="360" w:lineRule="auto"/>
        <w:jc w:val="center"/>
        <w:textAlignment w:val="baseline"/>
        <w:rPr>
          <w:rFonts w:hint="eastAsia" w:ascii="宋体" w:hAnsi="宋体" w:eastAsia="宋体" w:cs="宋体"/>
          <w:b/>
          <w:bCs w:val="0"/>
          <w:sz w:val="28"/>
          <w:szCs w:val="28"/>
          <w:highlight w:val="none"/>
          <w:lang w:val="en-US" w:eastAsia="zh-CN"/>
        </w:rPr>
      </w:pPr>
      <w:bookmarkStart w:id="177" w:name="_Toc13386"/>
      <w:bookmarkStart w:id="178" w:name="_Toc20997"/>
      <w:bookmarkStart w:id="179" w:name="_Toc21047"/>
      <w:bookmarkStart w:id="180" w:name="_Toc19636"/>
      <w:bookmarkStart w:id="181" w:name="_Toc15519"/>
    </w:p>
    <w:p>
      <w:pPr>
        <w:widowControl/>
        <w:spacing w:line="360" w:lineRule="auto"/>
        <w:jc w:val="center"/>
        <w:textAlignment w:val="baseline"/>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PPCS128-12气箱脉冲布袋除尘器技术参数</w:t>
      </w:r>
      <w:bookmarkEnd w:id="177"/>
      <w:bookmarkEnd w:id="178"/>
      <w:bookmarkEnd w:id="179"/>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408"/>
        <w:gridCol w:w="1546"/>
        <w:gridCol w:w="2767"/>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序号</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项目</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技术参数</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处理风量</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82000-84000m</w:t>
            </w:r>
            <w:r>
              <w:rPr>
                <w:rFonts w:hint="eastAsia" w:ascii="宋体" w:hAnsi="宋体" w:eastAsia="宋体" w:cs="宋体"/>
                <w:bCs/>
                <w:sz w:val="24"/>
                <w:szCs w:val="24"/>
                <w:highlight w:val="none"/>
                <w:vertAlign w:val="superscript"/>
                <w:lang w:val="en-US" w:eastAsia="zh-CN"/>
              </w:rPr>
              <w:t>3</w:t>
            </w:r>
            <w:r>
              <w:rPr>
                <w:rFonts w:hint="eastAsia" w:ascii="宋体" w:hAnsi="宋体" w:eastAsia="宋体" w:cs="宋体"/>
                <w:bCs/>
                <w:sz w:val="24"/>
                <w:szCs w:val="24"/>
                <w:highlight w:val="none"/>
                <w:lang w:val="en-US" w:eastAsia="zh-CN"/>
              </w:rPr>
              <w:t>/h</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出口含尘浓度</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≦10mg/Nm</w:t>
            </w:r>
            <w:r>
              <w:rPr>
                <w:rFonts w:hint="eastAsia" w:ascii="宋体" w:hAnsi="宋体" w:eastAsia="宋体" w:cs="宋体"/>
                <w:bCs/>
                <w:sz w:val="24"/>
                <w:szCs w:val="24"/>
                <w:highlight w:val="none"/>
                <w:vertAlign w:val="superscript"/>
                <w:lang w:val="en-US" w:eastAsia="zh-CN"/>
              </w:rPr>
              <w:t>3</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进风压力</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常压</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总过滤面积</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1920㎡</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过滤风速</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0.71-0.78m/min</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2954" w:type="dxa"/>
            <w:gridSpan w:val="2"/>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收尘器阻力</w:t>
            </w:r>
          </w:p>
        </w:tc>
        <w:tc>
          <w:tcPr>
            <w:tcW w:w="276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&lt;1500Pa</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1408" w:type="dxa"/>
            <w:vMerge w:val="restart"/>
            <w:noWrap w:val="0"/>
            <w:textDirection w:val="tbRlV"/>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引风机</w:t>
            </w: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型号</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G4-68NO11.5D-4-110KW</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转速</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1450r/min</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流量</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50000~90000m³/h</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电机型号</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YE3315S-4-110KW，</w:t>
            </w:r>
            <w:r>
              <w:rPr>
                <w:rFonts w:hint="eastAsia" w:cs="Times New Roman" w:eastAsiaTheme="minorEastAsia"/>
                <w:color w:val="auto"/>
                <w:sz w:val="21"/>
                <w:szCs w:val="21"/>
                <w:highlight w:val="none"/>
                <w:lang w:val="en-US" w:eastAsia="zh-CN"/>
              </w:rPr>
              <w:t>变频电机</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1408" w:type="dxa"/>
            <w:vMerge w:val="continue"/>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546"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电机功率</w:t>
            </w:r>
          </w:p>
        </w:tc>
        <w:tc>
          <w:tcPr>
            <w:tcW w:w="2767" w:type="dxa"/>
            <w:noWrap w:val="0"/>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110KW</w:t>
            </w:r>
          </w:p>
        </w:tc>
        <w:tc>
          <w:tcPr>
            <w:tcW w:w="1127" w:type="dxa"/>
            <w:noWrap w:val="0"/>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bl>
    <w:p>
      <w:pPr>
        <w:pStyle w:val="3"/>
        <w:spacing w:before="0" w:after="0" w:line="360" w:lineRule="auto"/>
        <w:rPr>
          <w:rFonts w:hint="eastAsia" w:ascii="宋体" w:hAnsi="宋体" w:eastAsia="宋体" w:cstheme="minorBidi"/>
          <w:b/>
          <w:bCs/>
          <w:kern w:val="0"/>
          <w:sz w:val="32"/>
          <w:szCs w:val="32"/>
          <w:highlight w:val="none"/>
          <w:lang w:val="en-US" w:eastAsia="zh-CN" w:bidi="ar-SA"/>
        </w:rPr>
      </w:pPr>
      <w:bookmarkStart w:id="182" w:name="_Toc30749"/>
      <w:bookmarkStart w:id="183" w:name="_Toc22094"/>
      <w:bookmarkStart w:id="184" w:name="_Toc27747"/>
      <w:bookmarkStart w:id="185" w:name="_Toc27264"/>
      <w:bookmarkStart w:id="186" w:name="_Toc28080"/>
      <w:r>
        <w:rPr>
          <w:rFonts w:hint="eastAsia" w:ascii="宋体" w:hAnsi="宋体" w:eastAsia="宋体" w:cstheme="minorBidi"/>
          <w:b/>
          <w:bCs/>
          <w:kern w:val="0"/>
          <w:sz w:val="32"/>
          <w:szCs w:val="32"/>
          <w:highlight w:val="none"/>
          <w:lang w:val="en-US" w:eastAsia="zh-CN" w:bidi="ar-SA"/>
        </w:rPr>
        <w:t>6.4</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性能要求</w:t>
      </w:r>
      <w:bookmarkEnd w:id="180"/>
      <w:bookmarkEnd w:id="181"/>
      <w:bookmarkEnd w:id="182"/>
      <w:bookmarkEnd w:id="183"/>
      <w:bookmarkEnd w:id="184"/>
      <w:bookmarkEnd w:id="185"/>
      <w:bookmarkEnd w:id="186"/>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（1）根据买方需要，卖方对除尘器进行安装，若因与现场备件不符或备件不符合标准均由卖方负责；</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（2）笼骨采用1段结构形式，袋笼规格φ125×3010，撑环间距200mm。要求焊点牢固、不脱落，垂直度、同心度高，采用自动一次成型生产线生产。笼骨框架无毛刺、无结疤等缺陷；</w:t>
      </w:r>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（3）滤袋材质为覆膜涤纶针刺毡，滤袋规格φ130×3060mm;</w:t>
      </w:r>
      <w:bookmarkStart w:id="225" w:name="_GoBack"/>
      <w:bookmarkEnd w:id="225"/>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（4）花板：保证孔径误差不超过0.1mm, 花板孔间孔距误差不超过1mm，花板的平直度误差≤1/1000mm，内孔加工表面粗糙度为Ra=3.2；</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（5）供电方式：采用送电制，机旁控制箱和自动控制系统到除尘器各用电设备电缆由卖方配套提供。</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（6）控制方式：除尘器设自动清灰控制，手动和自动可相互转换。除尘器脉冲清灰采用PLC进行控制。由电磁阀控制脉冲阀进行逐排喷吹清灰。</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除尘器脉冲清灰采用时间和压差两种控制方式。</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当采用时间清灰方式时，除尘器运行后，PLC即开始计时，至设定时间后，第一个箱体中的电磁脉冲阀按顺序喷吹。当该箱体中全部脉冲阀动作1次后，停止喷吹，接着第二个箱体中的脉冲阀开始清灰，依次类推，待全部室均清灰完毕后，一次循环结束，PLC重新开始计时。</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2）当采用压差清灰方式时，除尘器上的压力变送器检测除尘器箱体进出口压力信号送至PLC，PLC计算出箱体压差，除尘器运行后，随着布袋上粉尘的增多，进、出风总管内压差会逐渐增加，当压差值增加至设定上限时，压差信号装置发出信号至PLC，PLC指令该除尘器进行顺序清灰，直至该除尘器压差至设定下限时才停止清灰。经脉冲清灰后的粉尘直接掉入灰仓。</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（7）除尘器各部件应无机械伤痕（磨伤、划伤、碰伤、压伤等），无磨损、无裂痕和无残缺等；</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（8）除尘器效果：整机除尘效率大于99.9%，出口气体含尘浓度低于10mg/Nm³,整机工作噪音低于85db；</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（9）各类阀件、控制按钮安装时，要充分考虑到现场操作的安全、方便；考虑现场气源压力波动因素，卖方提供调压阀等组件；</w:t>
      </w:r>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（10）工作制：24h连续工作制</w:t>
      </w:r>
    </w:p>
    <w:p>
      <w:pPr>
        <w:pStyle w:val="3"/>
        <w:spacing w:before="0" w:after="0" w:line="360" w:lineRule="auto"/>
        <w:rPr>
          <w:rFonts w:hint="default" w:ascii="宋体" w:hAnsi="宋体" w:eastAsia="宋体" w:cstheme="minorBidi"/>
          <w:b/>
          <w:bCs/>
          <w:kern w:val="0"/>
          <w:sz w:val="32"/>
          <w:szCs w:val="32"/>
          <w:highlight w:val="none"/>
          <w:lang w:val="en-US" w:eastAsia="zh-CN" w:bidi="ar-SA"/>
        </w:rPr>
      </w:pPr>
      <w:bookmarkStart w:id="187" w:name="_Toc32028"/>
      <w:bookmarkStart w:id="188" w:name="_Toc25914"/>
      <w:bookmarkStart w:id="189" w:name="_Toc29471"/>
      <w:bookmarkStart w:id="190" w:name="_Toc17487"/>
      <w:bookmarkStart w:id="191" w:name="_Toc16244"/>
      <w:r>
        <w:rPr>
          <w:rFonts w:hint="eastAsia" w:ascii="宋体" w:hAnsi="宋体" w:eastAsia="宋体" w:cstheme="minorBidi"/>
          <w:b/>
          <w:bCs/>
          <w:kern w:val="0"/>
          <w:sz w:val="32"/>
          <w:szCs w:val="32"/>
          <w:highlight w:val="none"/>
          <w:lang w:val="en-US" w:eastAsia="zh-CN" w:bidi="ar-SA"/>
        </w:rPr>
        <w:t>6.6</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输灰方式</w:t>
      </w:r>
      <w:bookmarkEnd w:id="187"/>
      <w:bookmarkEnd w:id="188"/>
      <w:bookmarkEnd w:id="189"/>
      <w:bookmarkEnd w:id="190"/>
      <w:bookmarkEnd w:id="191"/>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92" w:name="_Toc23788"/>
      <w:r>
        <w:rPr>
          <w:rFonts w:hint="eastAsia" w:ascii="宋体" w:hAnsi="宋体" w:eastAsia="宋体" w:cs="宋体"/>
          <w:bCs/>
          <w:sz w:val="28"/>
          <w:szCs w:val="28"/>
          <w:highlight w:val="none"/>
          <w:lang w:val="en-US" w:eastAsia="zh-CN"/>
        </w:rPr>
        <w:t>PPCS96-5气箱脉冲布袋除尘器采用重锤卸灰阀吨包装运，灰尘经除尘器收集后落入灰斗，当粉尘重量达到一定地步，重锤卸灰阀开启，使灰尘落入下方安置的吨包袋中，吨包袋灰尘收集至一定地步业主方需清空吨包袋。</w:t>
      </w:r>
      <w:bookmarkEnd w:id="192"/>
    </w:p>
    <w:p>
      <w:pPr>
        <w:widowControl/>
        <w:spacing w:line="360" w:lineRule="auto"/>
        <w:ind w:firstLine="560" w:firstLineChars="200"/>
        <w:jc w:val="left"/>
        <w:textAlignment w:val="baseline"/>
        <w:rPr>
          <w:rFonts w:hint="eastAsia" w:ascii="宋体" w:hAnsi="宋体" w:eastAsia="宋体" w:cs="宋体"/>
          <w:bCs/>
          <w:sz w:val="28"/>
          <w:szCs w:val="28"/>
          <w:highlight w:val="none"/>
          <w:lang w:val="en-US" w:eastAsia="zh-CN"/>
        </w:rPr>
      </w:pPr>
      <w:bookmarkStart w:id="193" w:name="_Toc21264"/>
      <w:r>
        <w:rPr>
          <w:rFonts w:hint="eastAsia" w:ascii="宋体" w:hAnsi="宋体" w:eastAsia="宋体" w:cs="宋体"/>
          <w:bCs/>
          <w:sz w:val="28"/>
          <w:szCs w:val="28"/>
          <w:highlight w:val="none"/>
          <w:lang w:val="en-US" w:eastAsia="zh-CN"/>
        </w:rPr>
        <w:t>PPCS128-12气箱脉冲布袋除尘器采用重锤卸灰阀螺旋输灰方式，灰尘经除尘器收集后落入灰斗，当粉尘重量达到一定地步，重锤卸灰阀开启，使灰尘落入下方安装的螺旋中，并经由螺旋输送至骨料仓中参与下一步生产。</w:t>
      </w:r>
      <w:bookmarkEnd w:id="193"/>
    </w:p>
    <w:p>
      <w:pPr>
        <w:widowControl/>
        <w:spacing w:line="360" w:lineRule="auto"/>
        <w:ind w:firstLine="560" w:firstLineChars="200"/>
        <w:jc w:val="left"/>
        <w:textAlignment w:val="baseline"/>
        <w:rPr>
          <w:rFonts w:hint="default" w:ascii="宋体" w:hAnsi="宋体" w:eastAsia="宋体" w:cs="宋体"/>
          <w:bCs/>
          <w:sz w:val="28"/>
          <w:szCs w:val="28"/>
          <w:highlight w:val="none"/>
          <w:lang w:val="en-US" w:eastAsia="zh-CN"/>
        </w:rPr>
      </w:pPr>
      <w:bookmarkStart w:id="194" w:name="_Toc31411"/>
      <w:r>
        <w:rPr>
          <w:rFonts w:hint="eastAsia" w:ascii="宋体" w:hAnsi="宋体" w:eastAsia="宋体" w:cs="宋体"/>
          <w:bCs/>
          <w:sz w:val="28"/>
          <w:szCs w:val="28"/>
          <w:highlight w:val="none"/>
          <w:lang w:val="en-US" w:eastAsia="zh-CN"/>
        </w:rPr>
        <w:t>说明：由于骨料仓本身带有高度，故PPCS128-12气箱脉冲布袋除尘器立柱需适当加高，以免阻碍螺旋的放置。</w:t>
      </w:r>
      <w:bookmarkEnd w:id="194"/>
    </w:p>
    <w:p>
      <w:pPr>
        <w:pStyle w:val="3"/>
        <w:spacing w:before="0" w:after="0" w:line="360" w:lineRule="auto"/>
        <w:rPr>
          <w:rFonts w:hint="eastAsia" w:ascii="宋体" w:hAnsi="宋体" w:eastAsia="宋体" w:cstheme="minorBidi"/>
          <w:b/>
          <w:bCs/>
          <w:kern w:val="0"/>
          <w:sz w:val="32"/>
          <w:szCs w:val="32"/>
          <w:highlight w:val="none"/>
          <w:lang w:val="en-US" w:eastAsia="zh-CN" w:bidi="ar-SA"/>
        </w:rPr>
      </w:pPr>
      <w:bookmarkStart w:id="195" w:name="_Toc30733"/>
      <w:bookmarkStart w:id="196" w:name="_Toc2570"/>
      <w:r>
        <w:rPr>
          <w:rFonts w:hint="eastAsia" w:ascii="宋体" w:hAnsi="宋体" w:eastAsia="宋体" w:cstheme="minorBidi"/>
          <w:b/>
          <w:bCs/>
          <w:kern w:val="0"/>
          <w:sz w:val="32"/>
          <w:szCs w:val="32"/>
          <w:highlight w:val="none"/>
          <w:lang w:val="en-US" w:eastAsia="zh-CN" w:bidi="ar-SA"/>
        </w:rPr>
        <w:t>6.7</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除尘系统设备供货清单</w:t>
      </w:r>
      <w:bookmarkEnd w:id="195"/>
      <w:bookmarkEnd w:id="196"/>
    </w:p>
    <w:p>
      <w:pPr>
        <w:widowControl/>
        <w:spacing w:line="360" w:lineRule="auto"/>
        <w:ind w:firstLine="562" w:firstLineChars="200"/>
        <w:jc w:val="center"/>
        <w:textAlignment w:val="baseline"/>
        <w:rPr>
          <w:rFonts w:hint="default" w:ascii="宋体" w:hAnsi="宋体" w:eastAsia="宋体" w:cs="宋体"/>
          <w:b/>
          <w:bCs w:val="0"/>
          <w:sz w:val="28"/>
          <w:szCs w:val="28"/>
          <w:highlight w:val="none"/>
          <w:lang w:val="en-US" w:eastAsia="zh-CN"/>
        </w:rPr>
      </w:pPr>
      <w:bookmarkStart w:id="197" w:name="_Toc27115"/>
      <w:bookmarkStart w:id="198" w:name="_Toc24754"/>
      <w:bookmarkStart w:id="199" w:name="_Toc14884"/>
      <w:r>
        <w:rPr>
          <w:rFonts w:hint="eastAsia" w:ascii="宋体" w:hAnsi="宋体" w:eastAsia="宋体" w:cs="宋体"/>
          <w:b/>
          <w:bCs w:val="0"/>
          <w:sz w:val="28"/>
          <w:szCs w:val="28"/>
          <w:highlight w:val="none"/>
          <w:lang w:val="en-US" w:eastAsia="zh-CN"/>
        </w:rPr>
        <w:t>PPCS96-5气箱脉冲布袋除尘器供货清单</w:t>
      </w:r>
      <w:bookmarkEnd w:id="197"/>
      <w:bookmarkEnd w:id="198"/>
      <w:bookmarkEnd w:id="199"/>
    </w:p>
    <w:tbl>
      <w:tblPr>
        <w:tblStyle w:val="12"/>
        <w:tblW w:w="9066" w:type="dxa"/>
        <w:tblInd w:w="-299" w:type="dxa"/>
        <w:shd w:val="clear" w:color="auto" w:fill="auto"/>
        <w:tblLayout w:type="autofit"/>
        <w:tblCellMar>
          <w:top w:w="0" w:type="dxa"/>
          <w:left w:w="0" w:type="dxa"/>
          <w:bottom w:w="0" w:type="dxa"/>
          <w:right w:w="0" w:type="dxa"/>
        </w:tblCellMar>
      </w:tblPr>
      <w:tblGrid>
        <w:gridCol w:w="720"/>
        <w:gridCol w:w="1856"/>
        <w:gridCol w:w="3195"/>
        <w:gridCol w:w="709"/>
        <w:gridCol w:w="872"/>
        <w:gridCol w:w="1714"/>
      </w:tblGrid>
      <w:tr>
        <w:tblPrEx>
          <w:shd w:val="clear" w:color="auto" w:fill="auto"/>
          <w:tblCellMar>
            <w:top w:w="0" w:type="dxa"/>
            <w:left w:w="0" w:type="dxa"/>
            <w:bottom w:w="0" w:type="dxa"/>
            <w:right w:w="0" w:type="dxa"/>
          </w:tblCellMar>
        </w:tblPrEx>
        <w:trPr>
          <w:trHeight w:val="411"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18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名  称</w:t>
            </w:r>
          </w:p>
        </w:tc>
        <w:tc>
          <w:tcPr>
            <w:tcW w:w="31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规格型号</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单位</w:t>
            </w:r>
          </w:p>
        </w:tc>
        <w:tc>
          <w:tcPr>
            <w:tcW w:w="8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数量</w:t>
            </w:r>
          </w:p>
        </w:tc>
        <w:tc>
          <w:tcPr>
            <w:tcW w:w="17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备注</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8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除尘器主体</w:t>
            </w:r>
          </w:p>
        </w:tc>
        <w:tc>
          <w:tcPr>
            <w:tcW w:w="3195"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花板8mm,壳体5mm</w:t>
            </w:r>
          </w:p>
        </w:tc>
        <w:tc>
          <w:tcPr>
            <w:tcW w:w="709"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吨</w:t>
            </w:r>
          </w:p>
        </w:tc>
        <w:tc>
          <w:tcPr>
            <w:tcW w:w="872"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14</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三口以内</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布袋</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Φ130×3060mm 涤纶针刺毡</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条</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480</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最低二年质保</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骨架</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Φ125×3010mm</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只</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480</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镀锌</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气包</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Φ630×1000mm</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气源三联体</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4分/1寸</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个</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7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国产品牌</w:t>
            </w:r>
          </w:p>
        </w:tc>
      </w:tr>
      <w:tr>
        <w:tblPrEx>
          <w:tblCellMar>
            <w:top w:w="0" w:type="dxa"/>
            <w:left w:w="0" w:type="dxa"/>
            <w:bottom w:w="0" w:type="dxa"/>
            <w:right w:w="0" w:type="dxa"/>
          </w:tblCellMar>
        </w:tblPrEx>
        <w:trPr>
          <w:trHeight w:val="28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1856"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电磁脉冲阀</w:t>
            </w:r>
          </w:p>
        </w:tc>
        <w:tc>
          <w:tcPr>
            <w:tcW w:w="319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3寸直角式 DC24V</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1856"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提升阀气缸</w:t>
            </w:r>
          </w:p>
        </w:tc>
        <w:tc>
          <w:tcPr>
            <w:tcW w:w="319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SC100*300-FA</w:t>
            </w:r>
          </w:p>
        </w:tc>
        <w:tc>
          <w:tcPr>
            <w:tcW w:w="709" w:type="dxa"/>
            <w:tcBorders>
              <w:top w:val="nil"/>
              <w:left w:val="single" w:color="auto" w:sz="4" w:space="0"/>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套</w:t>
            </w:r>
          </w:p>
        </w:tc>
        <w:tc>
          <w:tcPr>
            <w:tcW w:w="872" w:type="dxa"/>
            <w:tcBorders>
              <w:top w:val="nil"/>
              <w:left w:val="nil"/>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1714"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57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w:t>
            </w:r>
          </w:p>
        </w:tc>
        <w:tc>
          <w:tcPr>
            <w:tcW w:w="1856"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风机、电机</w:t>
            </w:r>
          </w:p>
        </w:tc>
        <w:tc>
          <w:tcPr>
            <w:tcW w:w="3195" w:type="dxa"/>
            <w:tcBorders>
              <w:top w:val="single" w:color="auto"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G6-51NO9D-4-37KW，变频控制</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87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24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1856"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PLC控制系统</w:t>
            </w:r>
          </w:p>
        </w:tc>
        <w:tc>
          <w:tcPr>
            <w:tcW w:w="319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 脉冲控制仪</w:t>
            </w:r>
          </w:p>
        </w:tc>
        <w:tc>
          <w:tcPr>
            <w:tcW w:w="709"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套</w:t>
            </w:r>
          </w:p>
        </w:tc>
        <w:tc>
          <w:tcPr>
            <w:tcW w:w="872"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西门子</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1856"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电缆及桥架</w:t>
            </w:r>
          </w:p>
        </w:tc>
        <w:tc>
          <w:tcPr>
            <w:tcW w:w="319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709"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套</w:t>
            </w:r>
          </w:p>
        </w:tc>
        <w:tc>
          <w:tcPr>
            <w:tcW w:w="872"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w:t>
            </w:r>
          </w:p>
        </w:tc>
        <w:tc>
          <w:tcPr>
            <w:tcW w:w="1856"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气路系统</w:t>
            </w:r>
          </w:p>
        </w:tc>
        <w:tc>
          <w:tcPr>
            <w:tcW w:w="3195"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709"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872"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bl>
    <w:p>
      <w:pPr>
        <w:widowControl/>
        <w:spacing w:line="360" w:lineRule="auto"/>
        <w:ind w:firstLine="643" w:firstLineChars="200"/>
        <w:jc w:val="left"/>
        <w:textAlignment w:val="baseline"/>
        <w:rPr>
          <w:rFonts w:hint="eastAsia" w:ascii="宋体" w:hAnsi="宋体" w:eastAsia="宋体" w:cstheme="minorBidi"/>
          <w:b/>
          <w:bCs/>
          <w:kern w:val="0"/>
          <w:sz w:val="32"/>
          <w:szCs w:val="32"/>
          <w:highlight w:val="none"/>
          <w:lang w:val="en-US" w:eastAsia="zh-CN" w:bidi="ar-SA"/>
        </w:rPr>
      </w:pPr>
      <w:bookmarkStart w:id="200" w:name="_Toc15641"/>
    </w:p>
    <w:p>
      <w:pPr>
        <w:widowControl/>
        <w:spacing w:line="360" w:lineRule="auto"/>
        <w:ind w:firstLine="562" w:firstLineChars="200"/>
        <w:jc w:val="center"/>
        <w:textAlignment w:val="baseline"/>
        <w:rPr>
          <w:rFonts w:hint="default" w:ascii="宋体" w:hAnsi="宋体" w:eastAsia="宋体" w:cs="宋体"/>
          <w:b/>
          <w:bCs w:val="0"/>
          <w:sz w:val="28"/>
          <w:szCs w:val="28"/>
          <w:highlight w:val="none"/>
          <w:lang w:val="en-US" w:eastAsia="zh-CN"/>
        </w:rPr>
      </w:pPr>
      <w:bookmarkStart w:id="201" w:name="_Toc32705"/>
      <w:bookmarkStart w:id="202" w:name="_Toc16965"/>
      <w:r>
        <w:rPr>
          <w:rFonts w:hint="eastAsia" w:ascii="宋体" w:hAnsi="宋体" w:eastAsia="宋体" w:cs="宋体"/>
          <w:b/>
          <w:bCs w:val="0"/>
          <w:sz w:val="28"/>
          <w:szCs w:val="28"/>
          <w:highlight w:val="none"/>
          <w:lang w:val="en-US" w:eastAsia="zh-CN"/>
        </w:rPr>
        <w:t xml:space="preserve"> PPCS128-12气箱脉冲布袋除尘器供货清单</w:t>
      </w:r>
      <w:bookmarkEnd w:id="200"/>
      <w:bookmarkEnd w:id="201"/>
      <w:bookmarkEnd w:id="202"/>
    </w:p>
    <w:tbl>
      <w:tblPr>
        <w:tblStyle w:val="12"/>
        <w:tblW w:w="9066" w:type="dxa"/>
        <w:tblInd w:w="-299" w:type="dxa"/>
        <w:shd w:val="clear" w:color="auto" w:fill="auto"/>
        <w:tblLayout w:type="autofit"/>
        <w:tblCellMar>
          <w:top w:w="0" w:type="dxa"/>
          <w:left w:w="0" w:type="dxa"/>
          <w:bottom w:w="0" w:type="dxa"/>
          <w:right w:w="0" w:type="dxa"/>
        </w:tblCellMar>
      </w:tblPr>
      <w:tblGrid>
        <w:gridCol w:w="720"/>
        <w:gridCol w:w="1856"/>
        <w:gridCol w:w="3195"/>
        <w:gridCol w:w="709"/>
        <w:gridCol w:w="872"/>
        <w:gridCol w:w="1714"/>
      </w:tblGrid>
      <w:tr>
        <w:tblPrEx>
          <w:shd w:val="clear" w:color="auto" w:fill="auto"/>
          <w:tblCellMar>
            <w:top w:w="0" w:type="dxa"/>
            <w:left w:w="0" w:type="dxa"/>
            <w:bottom w:w="0" w:type="dxa"/>
            <w:right w:w="0" w:type="dxa"/>
          </w:tblCellMar>
        </w:tblPrEx>
        <w:trPr>
          <w:trHeight w:val="411"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18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名  称</w:t>
            </w:r>
          </w:p>
        </w:tc>
        <w:tc>
          <w:tcPr>
            <w:tcW w:w="31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规格型号</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单位</w:t>
            </w:r>
          </w:p>
        </w:tc>
        <w:tc>
          <w:tcPr>
            <w:tcW w:w="8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数量</w:t>
            </w:r>
          </w:p>
        </w:tc>
        <w:tc>
          <w:tcPr>
            <w:tcW w:w="17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备注</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8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除尘器主体</w:t>
            </w:r>
          </w:p>
        </w:tc>
        <w:tc>
          <w:tcPr>
            <w:tcW w:w="3195"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花板8mm,壳体5mm</w:t>
            </w:r>
          </w:p>
        </w:tc>
        <w:tc>
          <w:tcPr>
            <w:tcW w:w="709"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吨</w:t>
            </w:r>
          </w:p>
        </w:tc>
        <w:tc>
          <w:tcPr>
            <w:tcW w:w="872"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45</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三口以内</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布袋</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Φ130×3060mm 涤纶针刺毡</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条</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1536</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24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最低二年质保</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骨架</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Φ125×3010mm</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只</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1536</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镀锌</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气包</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Φ630×1000mm</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7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1856"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气源三联体</w:t>
            </w:r>
          </w:p>
        </w:tc>
        <w:tc>
          <w:tcPr>
            <w:tcW w:w="319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4分/1寸</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个</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17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国产品牌</w:t>
            </w:r>
          </w:p>
        </w:tc>
      </w:tr>
      <w:tr>
        <w:tblPrEx>
          <w:tblCellMar>
            <w:top w:w="0" w:type="dxa"/>
            <w:left w:w="0" w:type="dxa"/>
            <w:bottom w:w="0" w:type="dxa"/>
            <w:right w:w="0" w:type="dxa"/>
          </w:tblCellMar>
        </w:tblPrEx>
        <w:trPr>
          <w:trHeight w:val="28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1856"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电磁脉冲阀</w:t>
            </w:r>
          </w:p>
        </w:tc>
        <w:tc>
          <w:tcPr>
            <w:tcW w:w="319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3寸直角式 DC24V</w:t>
            </w:r>
          </w:p>
        </w:tc>
        <w:tc>
          <w:tcPr>
            <w:tcW w:w="70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w:t>
            </w:r>
          </w:p>
        </w:tc>
        <w:tc>
          <w:tcPr>
            <w:tcW w:w="872"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24</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1856"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提升阀气缸</w:t>
            </w:r>
          </w:p>
        </w:tc>
        <w:tc>
          <w:tcPr>
            <w:tcW w:w="319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SC100*300-FA</w:t>
            </w:r>
          </w:p>
        </w:tc>
        <w:tc>
          <w:tcPr>
            <w:tcW w:w="709" w:type="dxa"/>
            <w:tcBorders>
              <w:top w:val="nil"/>
              <w:left w:val="single" w:color="auto" w:sz="4" w:space="0"/>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套</w:t>
            </w:r>
          </w:p>
        </w:tc>
        <w:tc>
          <w:tcPr>
            <w:tcW w:w="872" w:type="dxa"/>
            <w:tcBorders>
              <w:top w:val="nil"/>
              <w:left w:val="nil"/>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w:t>
            </w:r>
          </w:p>
        </w:tc>
        <w:tc>
          <w:tcPr>
            <w:tcW w:w="1714"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57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w:t>
            </w:r>
          </w:p>
        </w:tc>
        <w:tc>
          <w:tcPr>
            <w:tcW w:w="1856"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风机、电机</w:t>
            </w:r>
          </w:p>
        </w:tc>
        <w:tc>
          <w:tcPr>
            <w:tcW w:w="3195" w:type="dxa"/>
            <w:tcBorders>
              <w:top w:val="single" w:color="auto"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G4-68NO11.5D-4-110KW，变频控制</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87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24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国标</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1856"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PLC控制系统</w:t>
            </w:r>
          </w:p>
        </w:tc>
        <w:tc>
          <w:tcPr>
            <w:tcW w:w="319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 PLC-200</w:t>
            </w:r>
          </w:p>
        </w:tc>
        <w:tc>
          <w:tcPr>
            <w:tcW w:w="709"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套</w:t>
            </w:r>
          </w:p>
        </w:tc>
        <w:tc>
          <w:tcPr>
            <w:tcW w:w="872"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西门子</w:t>
            </w: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1856"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电缆及桥架</w:t>
            </w:r>
          </w:p>
        </w:tc>
        <w:tc>
          <w:tcPr>
            <w:tcW w:w="319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709"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套</w:t>
            </w:r>
          </w:p>
        </w:tc>
        <w:tc>
          <w:tcPr>
            <w:tcW w:w="872"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w:t>
            </w:r>
          </w:p>
        </w:tc>
        <w:tc>
          <w:tcPr>
            <w:tcW w:w="1856"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气路系统</w:t>
            </w:r>
          </w:p>
        </w:tc>
        <w:tc>
          <w:tcPr>
            <w:tcW w:w="3195"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709"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872"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r>
      <w:tr>
        <w:tblPrEx>
          <w:tblCellMar>
            <w:top w:w="0" w:type="dxa"/>
            <w:left w:w="0" w:type="dxa"/>
            <w:bottom w:w="0" w:type="dxa"/>
            <w:right w:w="0"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13</w:t>
            </w:r>
          </w:p>
        </w:tc>
        <w:tc>
          <w:tcPr>
            <w:tcW w:w="1856"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螺旋</w:t>
            </w:r>
          </w:p>
        </w:tc>
        <w:tc>
          <w:tcPr>
            <w:tcW w:w="3195" w:type="dxa"/>
            <w:tcBorders>
              <w:top w:val="single" w:color="auto"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GX300×20000mm</w:t>
            </w:r>
          </w:p>
        </w:tc>
        <w:tc>
          <w:tcPr>
            <w:tcW w:w="709" w:type="dxa"/>
            <w:tcBorders>
              <w:top w:val="single" w:color="auto"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872" w:type="dxa"/>
            <w:tcBorders>
              <w:top w:val="single" w:color="auto"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171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p>
        </w:tc>
      </w:tr>
    </w:tbl>
    <w:p>
      <w:pPr>
        <w:pStyle w:val="3"/>
        <w:spacing w:before="0" w:after="0" w:line="360" w:lineRule="auto"/>
        <w:rPr>
          <w:rFonts w:hint="default" w:ascii="宋体" w:hAnsi="宋体" w:eastAsia="宋体" w:cstheme="minorBidi"/>
          <w:b/>
          <w:bCs/>
          <w:kern w:val="0"/>
          <w:sz w:val="32"/>
          <w:szCs w:val="32"/>
          <w:highlight w:val="none"/>
          <w:lang w:val="en-US" w:eastAsia="zh-CN" w:bidi="ar-SA"/>
        </w:rPr>
      </w:pPr>
      <w:bookmarkStart w:id="203" w:name="_Toc21517"/>
      <w:bookmarkStart w:id="204" w:name="_Toc265"/>
      <w:bookmarkStart w:id="205" w:name="_Toc17898"/>
      <w:bookmarkStart w:id="206" w:name="_Toc21899"/>
      <w:bookmarkStart w:id="207" w:name="_Toc23648"/>
      <w:r>
        <w:rPr>
          <w:rFonts w:hint="eastAsia" w:ascii="宋体" w:hAnsi="宋体" w:eastAsia="宋体" w:cstheme="minorBidi"/>
          <w:b/>
          <w:bCs/>
          <w:kern w:val="0"/>
          <w:sz w:val="32"/>
          <w:szCs w:val="32"/>
          <w:highlight w:val="none"/>
          <w:lang w:val="en-US" w:eastAsia="zh-CN" w:bidi="ar-SA"/>
        </w:rPr>
        <w:t>6.8</w:t>
      </w:r>
      <w:r>
        <w:rPr>
          <w:rFonts w:hint="eastAsia" w:ascii="宋体" w:hAnsi="宋体" w:eastAsia="宋体"/>
          <w:kern w:val="0"/>
          <w:highlight w:val="none"/>
          <w:lang w:val="en-US" w:eastAsia="zh-CN"/>
        </w:rPr>
        <w:t xml:space="preserve">. </w:t>
      </w:r>
      <w:r>
        <w:rPr>
          <w:rFonts w:hint="eastAsia" w:ascii="宋体" w:hAnsi="宋体" w:eastAsia="宋体" w:cstheme="minorBidi"/>
          <w:b/>
          <w:bCs/>
          <w:kern w:val="0"/>
          <w:sz w:val="32"/>
          <w:szCs w:val="32"/>
          <w:highlight w:val="none"/>
          <w:lang w:val="en-US" w:eastAsia="zh-CN" w:bidi="ar-SA"/>
        </w:rPr>
        <w:t>整套系统用电量</w:t>
      </w:r>
      <w:bookmarkEnd w:id="203"/>
      <w:bookmarkEnd w:id="204"/>
      <w:bookmarkEnd w:id="205"/>
      <w:bookmarkEnd w:id="206"/>
      <w:bookmarkEnd w:id="207"/>
    </w:p>
    <w:tbl>
      <w:tblPr>
        <w:tblStyle w:val="12"/>
        <w:tblW w:w="9097" w:type="dxa"/>
        <w:tblInd w:w="-299" w:type="dxa"/>
        <w:shd w:val="clear" w:color="auto" w:fill="auto"/>
        <w:tblLayout w:type="fixed"/>
        <w:tblCellMar>
          <w:top w:w="0" w:type="dxa"/>
          <w:left w:w="0" w:type="dxa"/>
          <w:bottom w:w="0" w:type="dxa"/>
          <w:right w:w="0" w:type="dxa"/>
        </w:tblCellMar>
      </w:tblPr>
      <w:tblGrid>
        <w:gridCol w:w="733"/>
        <w:gridCol w:w="3998"/>
        <w:gridCol w:w="875"/>
        <w:gridCol w:w="647"/>
        <w:gridCol w:w="933"/>
        <w:gridCol w:w="1911"/>
      </w:tblGrid>
      <w:tr>
        <w:tblPrEx>
          <w:shd w:val="clear" w:color="auto" w:fill="auto"/>
          <w:tblCellMar>
            <w:top w:w="0" w:type="dxa"/>
            <w:left w:w="0" w:type="dxa"/>
            <w:bottom w:w="0" w:type="dxa"/>
            <w:right w:w="0" w:type="dxa"/>
          </w:tblCellMar>
        </w:tblPrEx>
        <w:trPr>
          <w:trHeight w:val="45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序号</w:t>
            </w:r>
          </w:p>
        </w:tc>
        <w:tc>
          <w:tcPr>
            <w:tcW w:w="39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名  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耗电量</w:t>
            </w:r>
          </w:p>
        </w:tc>
        <w:tc>
          <w:tcPr>
            <w:tcW w:w="6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单位</w:t>
            </w: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数量</w:t>
            </w:r>
          </w:p>
        </w:tc>
        <w:tc>
          <w:tcPr>
            <w:tcW w:w="19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建议参数</w:t>
            </w:r>
          </w:p>
        </w:tc>
      </w:tr>
      <w:tr>
        <w:tblPrEx>
          <w:tblCellMar>
            <w:top w:w="0" w:type="dxa"/>
            <w:left w:w="0" w:type="dxa"/>
            <w:bottom w:w="0" w:type="dxa"/>
            <w:right w:w="0" w:type="dxa"/>
          </w:tblCellMar>
        </w:tblPrEx>
        <w:trPr>
          <w:trHeight w:val="455" w:hRule="atLeast"/>
        </w:trPr>
        <w:tc>
          <w:tcPr>
            <w:tcW w:w="9097"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heme="minorEastAsia" w:hAnsiTheme="minorEastAsia" w:cstheme="minorEastAsia"/>
                <w:b/>
                <w:i w:val="0"/>
                <w:color w:val="000000"/>
                <w:kern w:val="0"/>
                <w:sz w:val="24"/>
                <w:szCs w:val="24"/>
                <w:highlight w:val="none"/>
                <w:u w:val="none"/>
                <w:lang w:val="en-US" w:eastAsia="zh-CN" w:bidi="ar"/>
              </w:rPr>
            </w:pPr>
            <w:r>
              <w:rPr>
                <w:rFonts w:hint="eastAsia" w:asciiTheme="minorEastAsia" w:hAnsiTheme="minorEastAsia" w:cstheme="minorEastAsia"/>
                <w:b/>
                <w:i w:val="0"/>
                <w:color w:val="000000"/>
                <w:kern w:val="0"/>
                <w:sz w:val="24"/>
                <w:szCs w:val="24"/>
                <w:highlight w:val="none"/>
                <w:u w:val="none"/>
                <w:lang w:val="en-US" w:eastAsia="zh-CN" w:bidi="ar"/>
              </w:rPr>
              <w:t>除尘系统</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39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HMC80单机脉冲除尘器</w:t>
            </w:r>
          </w:p>
        </w:tc>
        <w:tc>
          <w:tcPr>
            <w:tcW w:w="875"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15kW</w:t>
            </w:r>
          </w:p>
        </w:tc>
        <w:tc>
          <w:tcPr>
            <w:tcW w:w="64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93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45kW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39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PPCS96-5气箱脉冲布袋除尘器</w:t>
            </w:r>
          </w:p>
        </w:tc>
        <w:tc>
          <w:tcPr>
            <w:tcW w:w="875"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37kW</w:t>
            </w:r>
          </w:p>
        </w:tc>
        <w:tc>
          <w:tcPr>
            <w:tcW w:w="64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37kW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w:t>
            </w:r>
          </w:p>
        </w:tc>
        <w:tc>
          <w:tcPr>
            <w:tcW w:w="399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PPCS128-12气箱脉冲布袋除尘器</w:t>
            </w:r>
          </w:p>
        </w:tc>
        <w:tc>
          <w:tcPr>
            <w:tcW w:w="87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110kW</w:t>
            </w:r>
          </w:p>
        </w:tc>
        <w:tc>
          <w:tcPr>
            <w:tcW w:w="647"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110kW</w:t>
            </w:r>
          </w:p>
        </w:tc>
      </w:tr>
      <w:tr>
        <w:tblPrEx>
          <w:tblCellMar>
            <w:top w:w="0" w:type="dxa"/>
            <w:left w:w="0" w:type="dxa"/>
            <w:bottom w:w="0" w:type="dxa"/>
            <w:right w:w="0" w:type="dxa"/>
          </w:tblCellMar>
        </w:tblPrEx>
        <w:trPr>
          <w:trHeight w:val="404" w:hRule="atLeast"/>
        </w:trPr>
        <w:tc>
          <w:tcPr>
            <w:tcW w:w="560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除尘器设计实用过程中开启80%的功率系数</w:t>
            </w:r>
          </w:p>
        </w:tc>
        <w:tc>
          <w:tcPr>
            <w:tcW w:w="3491" w:type="dxa"/>
            <w:gridSpan w:val="3"/>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小计：154kW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p>
        </w:tc>
        <w:tc>
          <w:tcPr>
            <w:tcW w:w="399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增压水泵</w:t>
            </w:r>
          </w:p>
        </w:tc>
        <w:tc>
          <w:tcPr>
            <w:tcW w:w="87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1.5KW</w:t>
            </w:r>
          </w:p>
        </w:tc>
        <w:tc>
          <w:tcPr>
            <w:tcW w:w="647"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p>
        </w:tc>
        <w:tc>
          <w:tcPr>
            <w:tcW w:w="399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增压水泵</w:t>
            </w:r>
          </w:p>
        </w:tc>
        <w:tc>
          <w:tcPr>
            <w:tcW w:w="875"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3KW</w:t>
            </w:r>
          </w:p>
        </w:tc>
        <w:tc>
          <w:tcPr>
            <w:tcW w:w="647"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p>
        </w:tc>
        <w:tc>
          <w:tcPr>
            <w:tcW w:w="3998"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3m³空压机</w:t>
            </w:r>
          </w:p>
        </w:tc>
        <w:tc>
          <w:tcPr>
            <w:tcW w:w="87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22KW</w:t>
            </w:r>
          </w:p>
        </w:tc>
        <w:tc>
          <w:tcPr>
            <w:tcW w:w="647"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p>
        </w:tc>
        <w:tc>
          <w:tcPr>
            <w:tcW w:w="3998"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2m³螺杆空压机</w:t>
            </w:r>
          </w:p>
        </w:tc>
        <w:tc>
          <w:tcPr>
            <w:tcW w:w="87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18.5KW</w:t>
            </w:r>
          </w:p>
        </w:tc>
        <w:tc>
          <w:tcPr>
            <w:tcW w:w="647" w:type="dxa"/>
            <w:tcBorders>
              <w:top w:val="nil"/>
              <w:left w:val="single" w:color="auto" w:sz="4" w:space="0"/>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18.5KW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p>
        </w:tc>
        <w:tc>
          <w:tcPr>
            <w:tcW w:w="3998"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雾炮机</w:t>
            </w:r>
          </w:p>
        </w:tc>
        <w:tc>
          <w:tcPr>
            <w:tcW w:w="875" w:type="dxa"/>
            <w:tcBorders>
              <w:top w:val="single" w:color="auto"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7.5KW</w:t>
            </w:r>
          </w:p>
        </w:tc>
        <w:tc>
          <w:tcPr>
            <w:tcW w:w="6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9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9</w:t>
            </w:r>
          </w:p>
        </w:tc>
        <w:tc>
          <w:tcPr>
            <w:tcW w:w="3998"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3m³空压机(新增)</w:t>
            </w:r>
          </w:p>
        </w:tc>
        <w:tc>
          <w:tcPr>
            <w:tcW w:w="87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22KW</w:t>
            </w:r>
          </w:p>
        </w:tc>
        <w:tc>
          <w:tcPr>
            <w:tcW w:w="647"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22KW</w:t>
            </w:r>
          </w:p>
        </w:tc>
      </w:tr>
      <w:tr>
        <w:tblPrEx>
          <w:tblCellMar>
            <w:top w:w="0" w:type="dxa"/>
            <w:left w:w="0" w:type="dxa"/>
            <w:bottom w:w="0" w:type="dxa"/>
            <w:right w:w="0" w:type="dxa"/>
          </w:tblCellMar>
        </w:tblPrEx>
        <w:trPr>
          <w:trHeight w:val="404" w:hRule="atLeast"/>
        </w:trPr>
        <w:tc>
          <w:tcPr>
            <w:tcW w:w="73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3998" w:type="dxa"/>
            <w:tcBorders>
              <w:top w:val="nil"/>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螺旋</w:t>
            </w:r>
          </w:p>
        </w:tc>
        <w:tc>
          <w:tcPr>
            <w:tcW w:w="875"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11KW</w:t>
            </w:r>
          </w:p>
        </w:tc>
        <w:tc>
          <w:tcPr>
            <w:tcW w:w="647"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w:t>
            </w:r>
          </w:p>
        </w:tc>
        <w:tc>
          <w:tcPr>
            <w:tcW w:w="933" w:type="dxa"/>
            <w:tcBorders>
              <w:top w:val="nil"/>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11KW</w:t>
            </w:r>
          </w:p>
        </w:tc>
      </w:tr>
      <w:tr>
        <w:tblPrEx>
          <w:tblCellMar>
            <w:top w:w="0" w:type="dxa"/>
            <w:left w:w="0" w:type="dxa"/>
            <w:bottom w:w="0" w:type="dxa"/>
            <w:right w:w="0" w:type="dxa"/>
          </w:tblCellMar>
        </w:tblPrEx>
        <w:trPr>
          <w:trHeight w:val="404" w:hRule="atLeast"/>
        </w:trPr>
        <w:tc>
          <w:tcPr>
            <w:tcW w:w="73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11</w:t>
            </w:r>
          </w:p>
        </w:tc>
        <w:tc>
          <w:tcPr>
            <w:tcW w:w="3998"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干雾抑尘系统</w:t>
            </w:r>
          </w:p>
        </w:tc>
        <w:tc>
          <w:tcPr>
            <w:tcW w:w="875"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15KW</w:t>
            </w:r>
          </w:p>
        </w:tc>
        <w:tc>
          <w:tcPr>
            <w:tcW w:w="647"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w:t>
            </w:r>
          </w:p>
        </w:tc>
        <w:tc>
          <w:tcPr>
            <w:tcW w:w="933"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台套</w:t>
            </w:r>
          </w:p>
        </w:tc>
        <w:tc>
          <w:tcPr>
            <w:tcW w:w="1911"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30KW</w:t>
            </w:r>
          </w:p>
        </w:tc>
      </w:tr>
      <w:tr>
        <w:tblPrEx>
          <w:tblCellMar>
            <w:top w:w="0" w:type="dxa"/>
            <w:left w:w="0" w:type="dxa"/>
            <w:bottom w:w="0" w:type="dxa"/>
            <w:right w:w="0" w:type="dxa"/>
          </w:tblCellMar>
        </w:tblPrEx>
        <w:trPr>
          <w:trHeight w:val="404" w:hRule="atLeast"/>
        </w:trPr>
        <w:tc>
          <w:tcPr>
            <w:tcW w:w="73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w:t>
            </w:r>
          </w:p>
        </w:tc>
        <w:tc>
          <w:tcPr>
            <w:tcW w:w="3998"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小计</w:t>
            </w:r>
          </w:p>
        </w:tc>
        <w:tc>
          <w:tcPr>
            <w:tcW w:w="875"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647"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933" w:type="dxa"/>
            <w:tcBorders>
              <w:top w:val="single" w:color="auto" w:sz="4" w:space="0"/>
              <w:left w:val="nil"/>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eastAsia" w:ascii="宋体" w:hAnsi="宋体" w:eastAsia="宋体" w:cs="宋体"/>
                <w:bCs/>
                <w:sz w:val="24"/>
                <w:szCs w:val="24"/>
                <w:highlight w:val="none"/>
                <w:lang w:val="en-US" w:eastAsia="zh-CN"/>
              </w:rPr>
            </w:pPr>
          </w:p>
        </w:tc>
        <w:tc>
          <w:tcPr>
            <w:tcW w:w="1911"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123KW</w:t>
            </w:r>
          </w:p>
        </w:tc>
      </w:tr>
      <w:tr>
        <w:tblPrEx>
          <w:tblCellMar>
            <w:top w:w="0" w:type="dxa"/>
            <w:left w:w="0" w:type="dxa"/>
            <w:bottom w:w="0" w:type="dxa"/>
            <w:right w:w="0" w:type="dxa"/>
          </w:tblCellMar>
        </w:tblPrEx>
        <w:trPr>
          <w:trHeight w:val="426" w:hRule="atLeast"/>
        </w:trPr>
        <w:tc>
          <w:tcPr>
            <w:tcW w:w="7186" w:type="dxa"/>
            <w:gridSpan w:val="5"/>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总计</w:t>
            </w:r>
          </w:p>
        </w:tc>
        <w:tc>
          <w:tcPr>
            <w:tcW w:w="1911"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auto"/>
              <w:jc w:val="center"/>
              <w:textAlignment w:val="baseline"/>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277KW</w:t>
            </w:r>
          </w:p>
        </w:tc>
      </w:tr>
    </w:tbl>
    <w:p>
      <w:pPr>
        <w:widowControl/>
        <w:spacing w:line="360" w:lineRule="auto"/>
        <w:jc w:val="left"/>
        <w:textAlignment w:val="baseline"/>
        <w:rPr>
          <w:rFonts w:hint="eastAsia" w:ascii="宋体" w:hAnsi="宋体" w:eastAsia="宋体" w:cs="宋体"/>
          <w:bCs/>
          <w:sz w:val="28"/>
          <w:szCs w:val="28"/>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400" w:after="400" w:line="600" w:lineRule="auto"/>
        <w:jc w:val="center"/>
        <w:textAlignment w:val="auto"/>
        <w:rPr>
          <w:rFonts w:hint="default"/>
          <w:kern w:val="0"/>
          <w:highlight w:val="none"/>
          <w:lang w:val="en-US" w:eastAsia="zh-CN"/>
        </w:rPr>
      </w:pPr>
      <w:bookmarkStart w:id="208" w:name="_Toc18340"/>
      <w:bookmarkStart w:id="209" w:name="_Toc21056"/>
      <w:bookmarkStart w:id="210" w:name="_Toc18330"/>
      <w:bookmarkStart w:id="211" w:name="_Toc4130"/>
      <w:bookmarkStart w:id="212" w:name="_Toc19955"/>
      <w:r>
        <w:rPr>
          <w:rFonts w:hint="eastAsia"/>
          <w:kern w:val="0"/>
          <w:highlight w:val="none"/>
          <w:lang w:val="en-US" w:eastAsia="zh-CN"/>
        </w:rPr>
        <w:t>七、</w:t>
      </w:r>
      <w:bookmarkEnd w:id="208"/>
      <w:r>
        <w:rPr>
          <w:rFonts w:hint="eastAsia"/>
          <w:kern w:val="0"/>
          <w:highlight w:val="none"/>
          <w:lang w:val="en-US" w:eastAsia="zh-CN"/>
        </w:rPr>
        <w:t>附件及附图</w:t>
      </w:r>
      <w:bookmarkEnd w:id="209"/>
      <w:bookmarkEnd w:id="210"/>
      <w:bookmarkEnd w:id="211"/>
      <w:bookmarkEnd w:id="212"/>
    </w:p>
    <w:p>
      <w:pPr>
        <w:widowControl/>
        <w:spacing w:line="360" w:lineRule="auto"/>
        <w:ind w:left="840" w:hanging="630" w:hangingChars="300"/>
        <w:jc w:val="left"/>
        <w:textAlignment w:val="baseline"/>
        <w:rPr>
          <w:highlight w:val="none"/>
        </w:rPr>
      </w:pPr>
    </w:p>
    <w:p>
      <w:pPr>
        <w:pStyle w:val="3"/>
        <w:spacing w:before="0" w:after="0" w:line="360" w:lineRule="auto"/>
        <w:rPr>
          <w:rFonts w:hint="eastAsia" w:ascii="宋体" w:hAnsi="宋体" w:eastAsia="宋体" w:cstheme="minorBidi"/>
          <w:b/>
          <w:bCs/>
          <w:kern w:val="0"/>
          <w:sz w:val="32"/>
          <w:szCs w:val="32"/>
          <w:highlight w:val="none"/>
          <w:lang w:val="en-US" w:eastAsia="zh-CN" w:bidi="ar-SA"/>
        </w:rPr>
      </w:pPr>
      <w:bookmarkStart w:id="213" w:name="_Toc4356"/>
      <w:bookmarkStart w:id="214" w:name="_Toc13557"/>
      <w:bookmarkStart w:id="215" w:name="_Toc18746"/>
      <w:bookmarkStart w:id="216" w:name="_Toc31729"/>
      <w:r>
        <w:rPr>
          <w:rFonts w:hint="eastAsia" w:ascii="宋体" w:hAnsi="宋体" w:eastAsia="宋体" w:cstheme="minorBidi"/>
          <w:b/>
          <w:bCs/>
          <w:kern w:val="0"/>
          <w:sz w:val="32"/>
          <w:szCs w:val="32"/>
          <w:highlight w:val="none"/>
          <w:lang w:val="en-US" w:eastAsia="zh-CN" w:bidi="ar-SA"/>
        </w:rPr>
        <w:t>7.1. 评审会专家意见</w:t>
      </w:r>
      <w:bookmarkEnd w:id="213"/>
      <w:bookmarkEnd w:id="214"/>
      <w:bookmarkEnd w:id="215"/>
      <w:bookmarkEnd w:id="216"/>
    </w:p>
    <w:p>
      <w:pPr>
        <w:pStyle w:val="3"/>
        <w:spacing w:before="0" w:after="0" w:line="360" w:lineRule="auto"/>
        <w:rPr>
          <w:rFonts w:hint="default" w:ascii="宋体" w:hAnsi="宋体" w:eastAsia="宋体" w:cstheme="minorBidi"/>
          <w:b/>
          <w:bCs/>
          <w:kern w:val="0"/>
          <w:sz w:val="32"/>
          <w:szCs w:val="32"/>
          <w:highlight w:val="none"/>
          <w:lang w:val="en-US" w:eastAsia="zh-CN" w:bidi="ar-SA"/>
        </w:rPr>
      </w:pPr>
      <w:bookmarkStart w:id="217" w:name="_Toc18822"/>
      <w:bookmarkStart w:id="218" w:name="_Toc1700"/>
      <w:bookmarkStart w:id="219" w:name="_Toc11342"/>
      <w:bookmarkStart w:id="220" w:name="_Toc31420"/>
      <w:r>
        <w:rPr>
          <w:rFonts w:hint="eastAsia" w:ascii="宋体" w:hAnsi="宋体" w:eastAsia="宋体" w:cstheme="minorBidi"/>
          <w:b/>
          <w:bCs/>
          <w:kern w:val="0"/>
          <w:sz w:val="32"/>
          <w:szCs w:val="32"/>
          <w:highlight w:val="none"/>
          <w:lang w:val="en-US" w:eastAsia="zh-CN" w:bidi="ar-SA"/>
        </w:rPr>
        <w:t>7.2. 项目环评批复</w:t>
      </w:r>
      <w:bookmarkEnd w:id="217"/>
      <w:bookmarkEnd w:id="218"/>
      <w:bookmarkEnd w:id="219"/>
      <w:bookmarkEnd w:id="220"/>
    </w:p>
    <w:p>
      <w:pPr>
        <w:pStyle w:val="3"/>
        <w:spacing w:before="0" w:after="0" w:line="360" w:lineRule="auto"/>
        <w:rPr>
          <w:rFonts w:hint="default" w:ascii="宋体" w:hAnsi="宋体" w:eastAsia="宋体" w:cstheme="minorBidi"/>
          <w:b/>
          <w:bCs/>
          <w:kern w:val="0"/>
          <w:sz w:val="32"/>
          <w:szCs w:val="32"/>
          <w:highlight w:val="none"/>
          <w:lang w:val="en-US" w:eastAsia="zh-CN" w:bidi="ar-SA"/>
        </w:rPr>
        <w:sectPr>
          <w:pgSz w:w="11906" w:h="16838"/>
          <w:pgMar w:top="1440" w:right="1800" w:bottom="1440" w:left="1800" w:header="851" w:footer="992" w:gutter="0"/>
          <w:pgNumType w:fmt="decimal"/>
          <w:cols w:space="425" w:num="1"/>
          <w:docGrid w:type="lines" w:linePitch="312" w:charSpace="0"/>
        </w:sectPr>
      </w:pPr>
      <w:bookmarkStart w:id="221" w:name="_Toc19118"/>
      <w:bookmarkStart w:id="222" w:name="_Toc20958"/>
      <w:bookmarkStart w:id="223" w:name="_Toc28634"/>
      <w:bookmarkStart w:id="224" w:name="_Toc18704"/>
      <w:r>
        <w:rPr>
          <w:rFonts w:hint="eastAsia" w:ascii="宋体" w:hAnsi="宋体" w:eastAsia="宋体" w:cstheme="minorBidi"/>
          <w:b/>
          <w:bCs/>
          <w:kern w:val="0"/>
          <w:sz w:val="32"/>
          <w:szCs w:val="32"/>
          <w:highlight w:val="none"/>
          <w:lang w:val="en-US" w:eastAsia="zh-CN" w:bidi="ar-SA"/>
        </w:rPr>
        <w:t>7.3. 附图</w:t>
      </w:r>
      <w:bookmarkEnd w:id="221"/>
      <w:bookmarkEnd w:id="222"/>
      <w:bookmarkEnd w:id="223"/>
      <w:bookmarkEnd w:id="224"/>
    </w:p>
    <w:p>
      <w:pPr>
        <w:widowControl/>
        <w:spacing w:line="360" w:lineRule="auto"/>
        <w:ind w:left="840" w:hanging="630" w:hangingChars="300"/>
        <w:jc w:val="left"/>
        <w:textAlignment w:val="baseline"/>
        <w:rPr>
          <w:rFonts w:hint="eastAsia" w:eastAsiaTheme="minorEastAsia"/>
          <w:highlight w:val="none"/>
          <w:lang w:eastAsia="zh-CN"/>
        </w:rPr>
      </w:pPr>
      <w:r>
        <w:rPr>
          <w:rFonts w:hint="eastAsia" w:eastAsiaTheme="minorEastAsia"/>
          <w:highlight w:val="none"/>
          <w:lang w:eastAsia="zh-CN"/>
        </w:rPr>
        <w:drawing>
          <wp:anchor distT="0" distB="0" distL="114300" distR="114300" simplePos="0" relativeHeight="251888640" behindDoc="0" locked="0" layoutInCell="1" allowOverlap="1">
            <wp:simplePos x="0" y="0"/>
            <wp:positionH relativeFrom="column">
              <wp:posOffset>-1120775</wp:posOffset>
            </wp:positionH>
            <wp:positionV relativeFrom="paragraph">
              <wp:posOffset>-913765</wp:posOffset>
            </wp:positionV>
            <wp:extent cx="7510780" cy="10698480"/>
            <wp:effectExtent l="0" t="0" r="2540" b="0"/>
            <wp:wrapNone/>
            <wp:docPr id="7" name="图片 7" descr="扫描全能王 2021-07-09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扫描全能王 2021-07-09 18.06"/>
                    <pic:cNvPicPr>
                      <a:picLocks noChangeAspect="1"/>
                    </pic:cNvPicPr>
                  </pic:nvPicPr>
                  <pic:blipFill>
                    <a:blip r:embed="rId21"/>
                    <a:stretch>
                      <a:fillRect/>
                    </a:stretch>
                  </pic:blipFill>
                  <pic:spPr>
                    <a:xfrm>
                      <a:off x="0" y="0"/>
                      <a:ext cx="7510780" cy="10698480"/>
                    </a:xfrm>
                    <a:prstGeom prst="rect">
                      <a:avLst/>
                    </a:prstGeom>
                  </pic:spPr>
                </pic:pic>
              </a:graphicData>
            </a:graphic>
          </wp:anchor>
        </w:drawing>
      </w: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rFonts w:hint="eastAsia" w:eastAsiaTheme="minorEastAsia"/>
          <w:highlight w:val="none"/>
          <w:lang w:eastAsia="zh-CN"/>
        </w:rPr>
      </w:pPr>
      <w:r>
        <w:rPr>
          <w:rFonts w:hint="eastAsia" w:eastAsiaTheme="minorEastAsia"/>
          <w:highlight w:val="none"/>
          <w:lang w:eastAsia="zh-CN"/>
        </w:rPr>
        <w:drawing>
          <wp:anchor distT="0" distB="0" distL="114300" distR="114300" simplePos="0" relativeHeight="251889664" behindDoc="0" locked="0" layoutInCell="1" allowOverlap="1">
            <wp:simplePos x="0" y="0"/>
            <wp:positionH relativeFrom="column">
              <wp:posOffset>-1152525</wp:posOffset>
            </wp:positionH>
            <wp:positionV relativeFrom="paragraph">
              <wp:posOffset>-884555</wp:posOffset>
            </wp:positionV>
            <wp:extent cx="7531735" cy="10662285"/>
            <wp:effectExtent l="0" t="0" r="12065" b="5715"/>
            <wp:wrapNone/>
            <wp:docPr id="8" name="图片 8" descr="关于黄石市环境投资有限责任公司黄石市建筑材料循环利用项目环境影响报告表的批复（黄环下审[201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关于黄石市环境投资有限责任公司黄石市建筑材料循环利用项目环境影响报告表的批复（黄环下审[2018]_00"/>
                    <pic:cNvPicPr>
                      <a:picLocks noChangeAspect="1"/>
                    </pic:cNvPicPr>
                  </pic:nvPicPr>
                  <pic:blipFill>
                    <a:blip r:embed="rId22"/>
                    <a:stretch>
                      <a:fillRect/>
                    </a:stretch>
                  </pic:blipFill>
                  <pic:spPr>
                    <a:xfrm>
                      <a:off x="0" y="0"/>
                      <a:ext cx="7531735" cy="10662285"/>
                    </a:xfrm>
                    <a:prstGeom prst="rect">
                      <a:avLst/>
                    </a:prstGeom>
                  </pic:spPr>
                </pic:pic>
              </a:graphicData>
            </a:graphic>
          </wp:anchor>
        </w:drawing>
      </w: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r>
        <w:rPr>
          <w:rFonts w:hint="eastAsia" w:eastAsiaTheme="minorEastAsia"/>
          <w:highlight w:val="none"/>
          <w:lang w:eastAsia="zh-CN"/>
        </w:rPr>
        <w:drawing>
          <wp:anchor distT="0" distB="0" distL="114300" distR="114300" simplePos="0" relativeHeight="251890688" behindDoc="0" locked="0" layoutInCell="1" allowOverlap="1">
            <wp:simplePos x="0" y="0"/>
            <wp:positionH relativeFrom="column">
              <wp:posOffset>-1132840</wp:posOffset>
            </wp:positionH>
            <wp:positionV relativeFrom="paragraph">
              <wp:posOffset>-894715</wp:posOffset>
            </wp:positionV>
            <wp:extent cx="7556500" cy="10697845"/>
            <wp:effectExtent l="0" t="0" r="2540" b="635"/>
            <wp:wrapNone/>
            <wp:docPr id="9" name="图片 9" descr="关于黄石市环境投资有限责任公司黄石市建筑材料循环利用项目环境影响报告表的批复（黄环下审[2018]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关于黄石市环境投资有限责任公司黄石市建筑材料循环利用项目环境影响报告表的批复（黄环下审[2018]_01"/>
                    <pic:cNvPicPr>
                      <a:picLocks noChangeAspect="1"/>
                    </pic:cNvPicPr>
                  </pic:nvPicPr>
                  <pic:blipFill>
                    <a:blip r:embed="rId23"/>
                    <a:stretch>
                      <a:fillRect/>
                    </a:stretch>
                  </pic:blipFill>
                  <pic:spPr>
                    <a:xfrm>
                      <a:off x="0" y="0"/>
                      <a:ext cx="7556500" cy="10697845"/>
                    </a:xfrm>
                    <a:prstGeom prst="rect">
                      <a:avLst/>
                    </a:prstGeom>
                  </pic:spPr>
                </pic:pic>
              </a:graphicData>
            </a:graphic>
          </wp:anchor>
        </w:drawing>
      </w: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rFonts w:hint="eastAsia" w:eastAsiaTheme="minorEastAsia"/>
          <w:highlight w:val="none"/>
          <w:lang w:eastAsia="zh-CN"/>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highlight w:val="none"/>
        </w:rPr>
      </w:pPr>
      <w:r>
        <w:rPr>
          <w:rFonts w:hint="eastAsia" w:eastAsiaTheme="minorEastAsia"/>
          <w:highlight w:val="none"/>
          <w:lang w:eastAsia="zh-CN"/>
        </w:rPr>
        <w:drawing>
          <wp:anchor distT="0" distB="0" distL="114300" distR="114300" simplePos="0" relativeHeight="251891712" behindDoc="0" locked="0" layoutInCell="1" allowOverlap="1">
            <wp:simplePos x="0" y="0"/>
            <wp:positionH relativeFrom="column">
              <wp:posOffset>-1151255</wp:posOffset>
            </wp:positionH>
            <wp:positionV relativeFrom="paragraph">
              <wp:posOffset>-891540</wp:posOffset>
            </wp:positionV>
            <wp:extent cx="7507605" cy="10627360"/>
            <wp:effectExtent l="0" t="0" r="5715" b="10160"/>
            <wp:wrapNone/>
            <wp:docPr id="11" name="图片 11" descr="关于黄石市环境投资有限责任公司黄石市建筑材料循环利用项目环境影响报告表的批复（黄环下审[2018]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关于黄石市环境投资有限责任公司黄石市建筑材料循环利用项目环境影响报告表的批复（黄环下审[2018]_02"/>
                    <pic:cNvPicPr>
                      <a:picLocks noChangeAspect="1"/>
                    </pic:cNvPicPr>
                  </pic:nvPicPr>
                  <pic:blipFill>
                    <a:blip r:embed="rId24"/>
                    <a:stretch>
                      <a:fillRect/>
                    </a:stretch>
                  </pic:blipFill>
                  <pic:spPr>
                    <a:xfrm>
                      <a:off x="0" y="0"/>
                      <a:ext cx="7507605" cy="10627360"/>
                    </a:xfrm>
                    <a:prstGeom prst="rect">
                      <a:avLst/>
                    </a:prstGeom>
                  </pic:spPr>
                </pic:pic>
              </a:graphicData>
            </a:graphic>
          </wp:anchor>
        </w:drawing>
      </w:r>
    </w:p>
    <w:p>
      <w:pPr>
        <w:spacing w:line="360" w:lineRule="auto"/>
        <w:rPr>
          <w:rFonts w:hint="eastAsia" w:eastAsiaTheme="minorEastAsia"/>
          <w:highlight w:val="none"/>
          <w:lang w:eastAsia="zh-CN"/>
        </w:rPr>
        <w:sectPr>
          <w:pgSz w:w="11906" w:h="16838"/>
          <w:pgMar w:top="1440" w:right="1800" w:bottom="1440" w:left="1800" w:header="851" w:footer="992" w:gutter="0"/>
          <w:pgNumType w:fmt="decimal"/>
          <w:cols w:space="425" w:num="1"/>
          <w:docGrid w:type="lines" w:linePitch="312" w:charSpace="0"/>
        </w:sectPr>
      </w:pPr>
    </w:p>
    <w:p>
      <w:pPr>
        <w:spacing w:line="360" w:lineRule="auto"/>
        <w:rPr>
          <w:highlight w:val="none"/>
        </w:rPr>
      </w:pPr>
    </w:p>
    <w:p>
      <w:pPr>
        <w:spacing w:line="360" w:lineRule="auto"/>
        <w:rPr>
          <w:highlight w:val="none"/>
        </w:rPr>
      </w:pPr>
    </w:p>
    <w:p>
      <w:pPr>
        <w:spacing w:line="360" w:lineRule="auto"/>
        <w:rPr>
          <w:rFonts w:hint="eastAsia" w:eastAsiaTheme="minorEastAsia"/>
          <w:highlight w:val="none"/>
          <w:lang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9C4D11"/>
    <w:multiLevelType w:val="singleLevel"/>
    <w:tmpl w:val="E89C4D11"/>
    <w:lvl w:ilvl="0" w:tentative="0">
      <w:start w:val="1"/>
      <w:numFmt w:val="decimal"/>
      <w:suff w:val="nothing"/>
      <w:lvlText w:val="（%1）"/>
      <w:lvlJc w:val="left"/>
    </w:lvl>
  </w:abstractNum>
  <w:abstractNum w:abstractNumId="1">
    <w:nsid w:val="1C0CD663"/>
    <w:multiLevelType w:val="singleLevel"/>
    <w:tmpl w:val="1C0CD663"/>
    <w:lvl w:ilvl="0" w:tentative="0">
      <w:start w:val="1"/>
      <w:numFmt w:val="decimal"/>
      <w:suff w:val="nothing"/>
      <w:lvlText w:val="%1）"/>
      <w:lvlJc w:val="left"/>
    </w:lvl>
  </w:abstractNum>
  <w:abstractNum w:abstractNumId="2">
    <w:nsid w:val="3EB78DDF"/>
    <w:multiLevelType w:val="singleLevel"/>
    <w:tmpl w:val="3EB78DDF"/>
    <w:lvl w:ilvl="0" w:tentative="0">
      <w:start w:val="1"/>
      <w:numFmt w:val="decimal"/>
      <w:suff w:val="nothing"/>
      <w:lvlText w:val="%1）"/>
      <w:lvlJc w:val="left"/>
    </w:lvl>
  </w:abstractNum>
  <w:abstractNum w:abstractNumId="3">
    <w:nsid w:val="5ACD10D8"/>
    <w:multiLevelType w:val="singleLevel"/>
    <w:tmpl w:val="5ACD10D8"/>
    <w:lvl w:ilvl="0" w:tentative="0">
      <w:start w:val="3"/>
      <w:numFmt w:val="decimal"/>
      <w:suff w:val="nothing"/>
      <w:lvlText w:val="（%1）"/>
      <w:lvlJc w:val="left"/>
    </w:lvl>
  </w:abstractNum>
  <w:abstractNum w:abstractNumId="4">
    <w:nsid w:val="7B2F2696"/>
    <w:multiLevelType w:val="singleLevel"/>
    <w:tmpl w:val="7B2F2696"/>
    <w:lvl w:ilvl="0" w:tentative="0">
      <w:start w:val="5"/>
      <w:numFmt w:val="chineseCounting"/>
      <w:suff w:val="nothing"/>
      <w:lvlText w:val="%1、"/>
      <w:lvlJc w:val="left"/>
      <w:rPr>
        <w:rFonts w:hint="eastAsia"/>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FF4DEA"/>
    <w:rsid w:val="00E0526D"/>
    <w:rsid w:val="04DF28A9"/>
    <w:rsid w:val="0619693D"/>
    <w:rsid w:val="07B74841"/>
    <w:rsid w:val="0BDC4B4F"/>
    <w:rsid w:val="0F994304"/>
    <w:rsid w:val="126267D1"/>
    <w:rsid w:val="16584BB6"/>
    <w:rsid w:val="17785976"/>
    <w:rsid w:val="18254AC7"/>
    <w:rsid w:val="19B41754"/>
    <w:rsid w:val="1A132CE6"/>
    <w:rsid w:val="1B0162BB"/>
    <w:rsid w:val="20BC5B0B"/>
    <w:rsid w:val="20ED5FC4"/>
    <w:rsid w:val="214D3CB9"/>
    <w:rsid w:val="23956217"/>
    <w:rsid w:val="23C13A7C"/>
    <w:rsid w:val="274D7710"/>
    <w:rsid w:val="27CD05ED"/>
    <w:rsid w:val="28116CEA"/>
    <w:rsid w:val="2B1A75A1"/>
    <w:rsid w:val="2EBC4DF8"/>
    <w:rsid w:val="2EDC1E39"/>
    <w:rsid w:val="306F3ECC"/>
    <w:rsid w:val="30D93D56"/>
    <w:rsid w:val="33A64E6A"/>
    <w:rsid w:val="3FE83818"/>
    <w:rsid w:val="404938BD"/>
    <w:rsid w:val="42AC25FE"/>
    <w:rsid w:val="44E1080F"/>
    <w:rsid w:val="4598661D"/>
    <w:rsid w:val="48992A4F"/>
    <w:rsid w:val="4D2C2CAB"/>
    <w:rsid w:val="4DD60C6A"/>
    <w:rsid w:val="4EFF4DEA"/>
    <w:rsid w:val="50F7123A"/>
    <w:rsid w:val="51170ABB"/>
    <w:rsid w:val="51C36985"/>
    <w:rsid w:val="53076A01"/>
    <w:rsid w:val="577532FD"/>
    <w:rsid w:val="5BB45474"/>
    <w:rsid w:val="64AA29B8"/>
    <w:rsid w:val="654D393C"/>
    <w:rsid w:val="68DA705D"/>
    <w:rsid w:val="6BC372B6"/>
    <w:rsid w:val="74650EA1"/>
    <w:rsid w:val="756620F7"/>
    <w:rsid w:val="77952A1F"/>
    <w:rsid w:val="780B6269"/>
    <w:rsid w:val="791D098F"/>
    <w:rsid w:val="7949180B"/>
    <w:rsid w:val="7A117921"/>
    <w:rsid w:val="7E934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link w:val="15"/>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Plain Text"/>
    <w:basedOn w:val="1"/>
    <w:qFormat/>
    <w:uiPriority w:val="0"/>
    <w:pPr>
      <w:spacing w:line="360" w:lineRule="auto"/>
    </w:pPr>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Body Text 2"/>
    <w:basedOn w:val="1"/>
    <w:qFormat/>
    <w:uiPriority w:val="0"/>
    <w:rPr>
      <w:sz w:val="2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 Char Char Char Char"/>
    <w:basedOn w:val="1"/>
    <w:link w:val="14"/>
    <w:qFormat/>
    <w:uiPriority w:val="0"/>
  </w:style>
  <w:style w:type="character" w:styleId="16">
    <w:name w:val="Strong"/>
    <w:basedOn w:val="14"/>
    <w:qFormat/>
    <w:uiPriority w:val="0"/>
    <w:rPr>
      <w:b/>
    </w:rPr>
  </w:style>
  <w:style w:type="character" w:styleId="17">
    <w:name w:val="page number"/>
    <w:basedOn w:val="14"/>
    <w:qFormat/>
    <w:uiPriority w:val="0"/>
  </w:style>
  <w:style w:type="character" w:styleId="18">
    <w:name w:val="Hyperlink"/>
    <w:basedOn w:val="14"/>
    <w:qFormat/>
    <w:uiPriority w:val="0"/>
    <w:rPr>
      <w:color w:val="666666"/>
      <w:sz w:val="18"/>
      <w:szCs w:val="18"/>
    </w:rPr>
  </w:style>
  <w:style w:type="paragraph" w:customStyle="1" w:styleId="19">
    <w:name w:val="WPSOffice手动目录 1"/>
    <w:qFormat/>
    <w:uiPriority w:val="0"/>
    <w:pPr>
      <w:ind w:leftChars="0"/>
    </w:pPr>
    <w:rPr>
      <w:rFonts w:ascii="Times New Roman" w:hAnsi="Times New Roman" w:eastAsia="宋体" w:cs="Times New Roman"/>
      <w:sz w:val="20"/>
      <w:szCs w:val="20"/>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 w:type="character" w:customStyle="1" w:styleId="21">
    <w:name w:val="font11"/>
    <w:basedOn w:val="14"/>
    <w:qFormat/>
    <w:uiPriority w:val="0"/>
    <w:rPr>
      <w:rFonts w:hint="eastAsia" w:ascii="宋体" w:hAnsi="宋体" w:eastAsia="宋体" w:cs="宋体"/>
      <w:color w:val="000000"/>
      <w:sz w:val="21"/>
      <w:szCs w:val="21"/>
      <w:u w:val="none"/>
    </w:rPr>
  </w:style>
  <w:style w:type="character" w:customStyle="1" w:styleId="22">
    <w:name w:val="font01"/>
    <w:basedOn w:val="14"/>
    <w:qFormat/>
    <w:uiPriority w:val="0"/>
    <w:rPr>
      <w:rFonts w:ascii="Calibri" w:hAnsi="Calibri" w:cs="Calibri"/>
      <w:color w:val="000000"/>
      <w:sz w:val="21"/>
      <w:szCs w:val="21"/>
      <w:u w:val="none"/>
    </w:rPr>
  </w:style>
  <w:style w:type="character" w:customStyle="1" w:styleId="23">
    <w:name w:val="font31"/>
    <w:basedOn w:val="14"/>
    <w:qFormat/>
    <w:uiPriority w:val="0"/>
    <w:rPr>
      <w:rFonts w:hint="eastAsia" w:ascii="宋体" w:hAnsi="宋体" w:eastAsia="宋体" w:cs="宋体"/>
      <w:b/>
      <w:color w:val="000000"/>
      <w:sz w:val="24"/>
      <w:szCs w:val="24"/>
      <w:u w:val="none"/>
    </w:rPr>
  </w:style>
  <w:style w:type="paragraph" w:styleId="24">
    <w:name w:val="List Paragraph"/>
    <w:basedOn w:val="1"/>
    <w:qFormat/>
    <w:uiPriority w:val="99"/>
    <w:pPr>
      <w:ind w:firstLine="420" w:firstLineChars="200"/>
    </w:pPr>
  </w:style>
  <w:style w:type="paragraph" w:customStyle="1" w:styleId="25">
    <w:name w:val="Table Paragraph"/>
    <w:basedOn w:val="1"/>
    <w:qFormat/>
    <w:uiPriority w:val="1"/>
    <w:rPr>
      <w:rFonts w:ascii="宋体" w:hAnsi="宋体" w:eastAsia="宋体" w:cs="宋体"/>
      <w:lang w:val="zh-CN" w:eastAsia="zh-CN" w:bidi="zh-CN"/>
    </w:rPr>
  </w:style>
  <w:style w:type="paragraph" w:customStyle="1" w:styleId="26">
    <w:name w:val="正文文字"/>
    <w:qFormat/>
    <w:uiPriority w:val="0"/>
    <w:pPr>
      <w:spacing w:line="500" w:lineRule="exact"/>
      <w:ind w:firstLine="1040" w:firstLineChars="200"/>
    </w:pPr>
    <w:rPr>
      <w:rFonts w:ascii="Times New Roman" w:hAnsi="Times New Roman" w:eastAsia="宋体"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wmf"/><Relationship Id="rId17" Type="http://schemas.openxmlformats.org/officeDocument/2006/relationships/oleObject" Target="embeddings/oleObject1.bin"/><Relationship Id="rId16" Type="http://schemas.openxmlformats.org/officeDocument/2006/relationships/image" Target="media/image11.jpe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2021-06-03T13:06:00Z</dcterms:created>
  <dc:creator>丁德才</dc:creator>
  <cp:lastModifiedBy>hope</cp:lastModifiedBy>
  <cp:lastPrinted>2021-06-28T08:38:00Z</cp:lastPrinted>
  <dcterms:modified xsi:type="dcterms:W3CDTF">2021-08-12T04:09:25Z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